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20.xml" ContentType="application/vnd.openxmlformats-officedocument.drawingml.chart+xml"/>
  <Override PartName="/word/charts/chart30.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6A5F3C" w14:textId="77777777" w:rsidR="0098302B" w:rsidRPr="0098302B" w:rsidRDefault="0098302B" w:rsidP="0098302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r w:rsidRPr="0098302B">
        <w:rPr>
          <w:rFonts w:ascii="Times New Roman" w:eastAsia="Times New Roman" w:hAnsi="Times New Roman" w:cs="Times New Roman"/>
          <w:b/>
          <w:color w:val="000000"/>
          <w:sz w:val="24"/>
          <w:szCs w:val="24"/>
          <w:lang w:val="en-US"/>
        </w:rPr>
        <w:t>EVALUASI PENERAPAN STANDAR PELAYANAN FARMASI PADA RUMAH SAKIT PEMERINTAH TIPE C DI KABUPATEN LOMBOK TENGAH</w:t>
      </w:r>
    </w:p>
    <w:p w14:paraId="04296C0B"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4613373" w14:textId="0807ABD7" w:rsidR="00D01695" w:rsidRDefault="003F6561" w:rsidP="003F6561">
      <w:pPr>
        <w:pBdr>
          <w:top w:val="nil"/>
          <w:left w:val="nil"/>
          <w:bottom w:val="nil"/>
          <w:right w:val="nil"/>
          <w:between w:val="nil"/>
        </w:pBdr>
        <w:spacing w:after="0"/>
        <w:jc w:val="center"/>
        <w:rPr>
          <w:rFonts w:ascii="Times New Roman" w:eastAsia="Times New Roman" w:hAnsi="Times New Roman" w:cs="Times New Roman"/>
          <w:color w:val="000000"/>
          <w:sz w:val="20"/>
          <w:szCs w:val="20"/>
        </w:rPr>
      </w:pPr>
      <w:r w:rsidRPr="003F6561">
        <w:rPr>
          <w:rFonts w:ascii="Times New Roman" w:eastAsia="Times New Roman" w:hAnsi="Times New Roman" w:cs="Times New Roman"/>
          <w:b/>
          <w:i/>
          <w:color w:val="000000"/>
          <w:sz w:val="24"/>
          <w:szCs w:val="24"/>
        </w:rPr>
        <w:t>EVALUATION OF THE IMPLEMENTATION OF PHARMACY SERVICE STANDARDS IN TYPE C GOVERNMENT HOSPITALS IN CENTRAL LOMBOK REGENCY</w:t>
      </w:r>
    </w:p>
    <w:p w14:paraId="3FFF9AD2" w14:textId="77777777" w:rsidR="00D01695" w:rsidRDefault="00D01695">
      <w:pPr>
        <w:pBdr>
          <w:top w:val="nil"/>
          <w:left w:val="nil"/>
          <w:bottom w:val="nil"/>
          <w:right w:val="nil"/>
          <w:between w:val="nil"/>
        </w:pBdr>
        <w:spacing w:after="0"/>
        <w:jc w:val="center"/>
        <w:rPr>
          <w:rFonts w:ascii="Times New Roman" w:eastAsia="Times New Roman" w:hAnsi="Times New Roman" w:cs="Times New Roman"/>
          <w:color w:val="000000"/>
        </w:rPr>
      </w:pPr>
    </w:p>
    <w:p w14:paraId="3933FD22" w14:textId="77777777" w:rsidR="00535414" w:rsidRDefault="00535414" w:rsidP="00535414">
      <w:pPr>
        <w:spacing w:after="0" w:line="240" w:lineRule="auto"/>
        <w:jc w:val="center"/>
        <w:rPr>
          <w:rFonts w:ascii="Times New Roman" w:hAnsi="Times New Roman"/>
          <w:sz w:val="24"/>
          <w:szCs w:val="24"/>
          <w:lang w:val="en-ID"/>
        </w:rPr>
      </w:pPr>
      <w:r>
        <w:rPr>
          <w:rFonts w:ascii="Times New Roman" w:hAnsi="Times New Roman"/>
          <w:sz w:val="24"/>
          <w:szCs w:val="24"/>
        </w:rPr>
        <w:t>Dedent Eka Bimmaharyanto S.</w:t>
      </w:r>
      <w:r>
        <w:rPr>
          <w:rFonts w:ascii="Times New Roman" w:hAnsi="Times New Roman"/>
          <w:sz w:val="24"/>
          <w:szCs w:val="24"/>
          <w:vertAlign w:val="superscript"/>
        </w:rPr>
        <w:t>1</w:t>
      </w:r>
      <w:r>
        <w:rPr>
          <w:rFonts w:ascii="Times New Roman" w:hAnsi="Times New Roman"/>
          <w:sz w:val="24"/>
          <w:szCs w:val="24"/>
        </w:rPr>
        <w:t>, Recta Olivia Umboro*</w:t>
      </w:r>
      <w:r>
        <w:rPr>
          <w:rFonts w:ascii="Times New Roman" w:hAnsi="Times New Roman"/>
          <w:sz w:val="24"/>
          <w:szCs w:val="24"/>
          <w:vertAlign w:val="superscript"/>
        </w:rPr>
        <w:t>1</w:t>
      </w:r>
      <w:r>
        <w:rPr>
          <w:rFonts w:ascii="Times New Roman" w:hAnsi="Times New Roman"/>
          <w:sz w:val="24"/>
          <w:szCs w:val="24"/>
        </w:rPr>
        <w:t>, Fitri Apriliany</w:t>
      </w:r>
      <w:r>
        <w:rPr>
          <w:rFonts w:ascii="Times New Roman" w:hAnsi="Times New Roman"/>
          <w:sz w:val="24"/>
          <w:szCs w:val="24"/>
          <w:vertAlign w:val="superscript"/>
        </w:rPr>
        <w:t>2</w:t>
      </w:r>
    </w:p>
    <w:p w14:paraId="112CA428" w14:textId="77777777" w:rsidR="00535414" w:rsidRDefault="00535414" w:rsidP="00535414">
      <w:pPr>
        <w:spacing w:after="0" w:line="240" w:lineRule="auto"/>
        <w:jc w:val="center"/>
        <w:rPr>
          <w:rFonts w:ascii="Times New Roman" w:hAnsi="Times New Roman"/>
          <w:sz w:val="24"/>
          <w:szCs w:val="24"/>
        </w:rPr>
      </w:pPr>
      <w:r>
        <w:rPr>
          <w:rFonts w:ascii="Times New Roman" w:hAnsi="Times New Roman"/>
          <w:sz w:val="24"/>
          <w:szCs w:val="24"/>
        </w:rPr>
        <w:t>Universitas Qamarul Huda Badaruddin</w:t>
      </w:r>
      <w:r>
        <w:rPr>
          <w:rFonts w:ascii="Times New Roman" w:hAnsi="Times New Roman"/>
          <w:sz w:val="24"/>
          <w:szCs w:val="24"/>
          <w:vertAlign w:val="superscript"/>
        </w:rPr>
        <w:t>1*</w:t>
      </w:r>
    </w:p>
    <w:p w14:paraId="325F9C63" w14:textId="62D1440D" w:rsidR="00535414" w:rsidRDefault="00535414" w:rsidP="00535414">
      <w:pPr>
        <w:spacing w:after="0" w:line="240" w:lineRule="auto"/>
        <w:jc w:val="center"/>
        <w:rPr>
          <w:rFonts w:ascii="Times New Roman" w:hAnsi="Times New Roman"/>
          <w:b/>
          <w:bCs/>
          <w:sz w:val="24"/>
          <w:szCs w:val="24"/>
          <w:vertAlign w:val="superscript"/>
        </w:rPr>
      </w:pPr>
      <w:r>
        <w:rPr>
          <w:rFonts w:ascii="Times New Roman" w:hAnsi="Times New Roman"/>
          <w:sz w:val="24"/>
          <w:szCs w:val="24"/>
        </w:rPr>
        <w:t>Universitas Bumigora</w:t>
      </w:r>
      <w:r>
        <w:rPr>
          <w:rFonts w:ascii="Times New Roman" w:hAnsi="Times New Roman"/>
          <w:sz w:val="24"/>
          <w:szCs w:val="24"/>
          <w:vertAlign w:val="superscript"/>
        </w:rPr>
        <w:t>2</w:t>
      </w:r>
    </w:p>
    <w:p w14:paraId="1BD1B59A" w14:textId="4B9F78EF" w:rsidR="00D01695" w:rsidRDefault="00BF5A8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penulis korespondensi:</w:t>
      </w:r>
      <w:r w:rsidRPr="00BF5A86">
        <w:t xml:space="preserve"> </w:t>
      </w:r>
      <w:r w:rsidRPr="00BF5A86">
        <w:rPr>
          <w:rFonts w:ascii="Times New Roman" w:hAnsi="Times New Roman" w:cs="Times New Roman"/>
          <w:sz w:val="24"/>
          <w:szCs w:val="24"/>
        </w:rPr>
        <w:t>umboroolivia@gmail.com</w:t>
      </w:r>
      <w:r>
        <w:rPr>
          <w:rFonts w:ascii="Times New Roman" w:eastAsia="Times New Roman" w:hAnsi="Times New Roman" w:cs="Times New Roman"/>
          <w:color w:val="000000"/>
          <w:sz w:val="24"/>
          <w:szCs w:val="24"/>
        </w:rPr>
        <w:t>)</w:t>
      </w:r>
    </w:p>
    <w:p w14:paraId="57308FD6" w14:textId="6532664B"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7D0AFC19"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97658D9" w14:textId="77777777" w:rsidR="00D01695" w:rsidRDefault="00BF5A8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ABSTRAK</w:t>
      </w:r>
    </w:p>
    <w:p w14:paraId="5104FF25" w14:textId="77777777" w:rsidR="00F32B32" w:rsidRPr="00F32B32" w:rsidRDefault="00BF5A86" w:rsidP="00F32B32">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 xml:space="preserve">Latar Belakang: </w:t>
      </w:r>
      <w:r w:rsidR="00F32B32" w:rsidRPr="00F32B32">
        <w:rPr>
          <w:rFonts w:ascii="Times New Roman" w:eastAsia="Times New Roman" w:hAnsi="Times New Roman" w:cs="Times New Roman"/>
          <w:color w:val="000000"/>
          <w:lang w:val="en-US"/>
        </w:rPr>
        <w:t>Instalasi Farmasi Rumah Sakit (IFRS) menjadi fasilitator dalam mewujudkan dan melaksanakan  pelayanan kefarmasian yang berkualitas berfokus pada penyediaan obat-obatan yang aman, efektif, tepat waktu, dan menjamin keberlangsungan keselamatan pasien.  Sebagai salah satu RS Tipe C dan menjadi tempat rujukan pertama bagi 1.099.211 jiwa masyarakat di Lombok Tengah, Rumah Sakit Umum Daerah (RSUD) Praya berkewajiban untuk menyelenggarakan pelayanan kefaramsian yang bertanggung jawab dan berkualitas.Tujuan penelitian ini untuk mengevaluasi penerapan standar pelayanan farmasi di RSUD Praya Kab. Lombok Tengah mengacu pada Permenkes RI No.72 Tahun 2016 yang meliputi: standar pengelolaan sediaan farmasi, alat kesehatan, bahan medis habis pakai; pelayanan farmasi klinis; dan Sumber Daya Manusia (SDM) kefarmasian. Penelitian ini bersifat kualitatif dengan teknik pengumpulan data melalui wawancara, observasi dan penelaahan data sekunder. Hasil penelitian menunjukkan bahwa pada pelaksanaan aspek manajemen farmasi baru terlaksana secara maksimal sebanyak 7 (78%) aspek layanan; aspek farmasi klinis sebanyak 7 (63.36%) aspek layanan di IFRS Rawat Inap dan 5 (45.45%) aspek layanan di IFRS Rawat Jalan, selanjutnya pada aspek SDM kefarmasian sebesar 100%. Sehingga dapat disimpulkan bahwa RSUD Praya belum menerapkan Permenkes RI No.72 tahun 2016 secara maksimal yang disebabkan beberapa kendala diantaranya keterbatasan jumlah tenaga farmasi, ketidaklengkapan dokumen dan fasilitas yang belum memadai.</w:t>
      </w:r>
    </w:p>
    <w:p w14:paraId="498A6C66" w14:textId="429EFD2D" w:rsidR="00D01695" w:rsidRDefault="00BF5A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Metode:</w:t>
      </w:r>
      <w:r>
        <w:rPr>
          <w:rFonts w:ascii="Times New Roman" w:eastAsia="Times New Roman" w:hAnsi="Times New Roman" w:cs="Times New Roman"/>
          <w:color w:val="000000"/>
        </w:rPr>
        <w:t xml:space="preserve"> </w:t>
      </w:r>
      <w:r w:rsidR="0070184E" w:rsidRPr="0070184E">
        <w:rPr>
          <w:rFonts w:ascii="Times New Roman" w:eastAsia="Times New Roman" w:hAnsi="Times New Roman" w:cs="Times New Roman"/>
          <w:color w:val="000000"/>
          <w:lang w:val="en-US"/>
        </w:rPr>
        <w:t>Penelitian ini merupakan penelitian kualitatif dengan pendekatan</w:t>
      </w:r>
      <w:r w:rsidR="0070184E" w:rsidRPr="0070184E">
        <w:rPr>
          <w:rFonts w:ascii="Times New Roman" w:eastAsia="Times New Roman" w:hAnsi="Times New Roman" w:cs="Times New Roman"/>
          <w:i/>
          <w:color w:val="000000"/>
          <w:lang w:val="en-US"/>
        </w:rPr>
        <w:t xml:space="preserve"> crosectional </w:t>
      </w:r>
      <w:r w:rsidR="0070184E" w:rsidRPr="0070184E">
        <w:rPr>
          <w:rFonts w:ascii="Times New Roman" w:eastAsia="Times New Roman" w:hAnsi="Times New Roman" w:cs="Times New Roman"/>
          <w:color w:val="000000"/>
          <w:lang w:val="en-US"/>
        </w:rPr>
        <w:t>untuk mengevaluasi standar pelayanan</w:t>
      </w:r>
      <w:r w:rsidR="007D0006">
        <w:rPr>
          <w:rFonts w:ascii="Times New Roman" w:eastAsia="Times New Roman" w:hAnsi="Times New Roman" w:cs="Times New Roman"/>
          <w:color w:val="000000"/>
          <w:lang w:val="en-US"/>
        </w:rPr>
        <w:t xml:space="preserve"> </w:t>
      </w:r>
      <w:r w:rsidR="007D0006" w:rsidRPr="007D0006">
        <w:rPr>
          <w:rFonts w:ascii="Times New Roman" w:eastAsia="Times New Roman" w:hAnsi="Times New Roman" w:cs="Times New Roman"/>
          <w:color w:val="000000"/>
        </w:rPr>
        <w:t>kefarmasian di Rumah Sakit Tipe C</w:t>
      </w:r>
      <w:r w:rsidR="007D0006">
        <w:rPr>
          <w:rFonts w:ascii="Times New Roman" w:eastAsia="Times New Roman" w:hAnsi="Times New Roman" w:cs="Times New Roman"/>
          <w:color w:val="000000"/>
        </w:rPr>
        <w:t xml:space="preserve">. </w:t>
      </w:r>
      <w:r w:rsidR="007D0006" w:rsidRPr="007D0006">
        <w:rPr>
          <w:rFonts w:ascii="Times New Roman" w:eastAsia="Times New Roman" w:hAnsi="Times New Roman" w:cs="Times New Roman"/>
          <w:color w:val="000000"/>
        </w:rPr>
        <w:t>Sampel diambil menggunakan teknik sampel jenuh yang melibatkan seluruh tenaga kefarmasian, termasuk Apoteker Kepala Instalasi dan Apoteker Penanggung Jawab Unit Kerja.</w:t>
      </w:r>
      <w:r w:rsidR="007D0006">
        <w:rPr>
          <w:rFonts w:ascii="Times New Roman" w:eastAsia="Times New Roman" w:hAnsi="Times New Roman" w:cs="Times New Roman"/>
          <w:color w:val="000000"/>
        </w:rPr>
        <w:t xml:space="preserve"> </w:t>
      </w:r>
      <w:r w:rsidR="007D0006" w:rsidRPr="007D0006">
        <w:rPr>
          <w:rFonts w:ascii="Times New Roman" w:eastAsia="Times New Roman" w:hAnsi="Times New Roman" w:cs="Times New Roman"/>
          <w:color w:val="000000"/>
        </w:rPr>
        <w:t>Pengumpulan data dilakukan melalui wawancara dan observasi menggunakan kuesioner berskala Guttman, lembar persetujuan, serta alat perekam. Data yang terkumpul kemudian diberi skor berdasarkan jawaban Ya</w:t>
      </w:r>
      <w:r w:rsidR="007D0006">
        <w:rPr>
          <w:rFonts w:ascii="Times New Roman" w:eastAsia="Times New Roman" w:hAnsi="Times New Roman" w:cs="Times New Roman"/>
          <w:color w:val="000000"/>
        </w:rPr>
        <w:t xml:space="preserve"> dengan skor 1</w:t>
      </w:r>
      <w:r w:rsidR="007D0006" w:rsidRPr="007D0006">
        <w:rPr>
          <w:rFonts w:ascii="Times New Roman" w:eastAsia="Times New Roman" w:hAnsi="Times New Roman" w:cs="Times New Roman"/>
          <w:color w:val="000000"/>
        </w:rPr>
        <w:t xml:space="preserve"> atau Tidak</w:t>
      </w:r>
      <w:r w:rsidR="007D0006">
        <w:rPr>
          <w:rFonts w:ascii="Times New Roman" w:eastAsia="Times New Roman" w:hAnsi="Times New Roman" w:cs="Times New Roman"/>
          <w:color w:val="000000"/>
        </w:rPr>
        <w:t xml:space="preserve"> dengan skor 0</w:t>
      </w:r>
      <w:r w:rsidR="007D0006" w:rsidRPr="007D0006">
        <w:rPr>
          <w:rFonts w:ascii="Times New Roman" w:eastAsia="Times New Roman" w:hAnsi="Times New Roman" w:cs="Times New Roman"/>
          <w:color w:val="000000"/>
        </w:rPr>
        <w:t xml:space="preserve"> dan dihitung persentase kesesuaiannya sesuai kategori penilaian yang berlaku.</w:t>
      </w:r>
      <w:r>
        <w:rPr>
          <w:rFonts w:ascii="Times New Roman" w:eastAsia="Times New Roman" w:hAnsi="Times New Roman" w:cs="Times New Roman"/>
          <w:color w:val="000000"/>
        </w:rPr>
        <w:t xml:space="preserve">  </w:t>
      </w:r>
    </w:p>
    <w:p w14:paraId="55EC7B69" w14:textId="77777777" w:rsidR="00940726" w:rsidRPr="00940726" w:rsidRDefault="00BF5A86" w:rsidP="00940726">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Hasil:</w:t>
      </w:r>
      <w:r>
        <w:rPr>
          <w:rFonts w:ascii="Times New Roman" w:eastAsia="Times New Roman" w:hAnsi="Times New Roman" w:cs="Times New Roman"/>
          <w:color w:val="000000"/>
        </w:rPr>
        <w:t xml:space="preserve"> </w:t>
      </w:r>
      <w:r w:rsidR="00940726" w:rsidRPr="00940726">
        <w:rPr>
          <w:rFonts w:ascii="Times New Roman" w:eastAsia="Times New Roman" w:hAnsi="Times New Roman" w:cs="Times New Roman"/>
          <w:color w:val="000000"/>
          <w:lang w:val="en-US"/>
        </w:rPr>
        <w:t>Hasil penelitian menunjukkan bahwa pada pelaksanaan aspek manajemen farmasi baru terlaksana secara maksimal sebanyak 7 (78%) aspek layanan; aspek farmasi klinis sebanyak 7 (63.36%) aspek layanan di IFRS Rawat Inap dan 5 (45.45%) aspek layanan di IFRS Rawat Jalan, selanjutnya pada aspek SDM kefarmasian sebesar 100%. Sehingga dapat disimpulkan bahwa RSUD Praya belum menerapkan Permenkes RI No.72 tahun 2016 secara maksimal yang disebabkan beberapa kendala diantaranya keterbatasan jumlah tenaga farmasi, ketidaklengkapan dokumen dan fasilitas yang belum memadai.</w:t>
      </w:r>
    </w:p>
    <w:p w14:paraId="278A6A16" w14:textId="39F7C1BC" w:rsidR="00D01695" w:rsidRDefault="00BF5A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Kesimpulan:</w:t>
      </w:r>
      <w:r>
        <w:rPr>
          <w:rFonts w:ascii="Times New Roman" w:eastAsia="Times New Roman" w:hAnsi="Times New Roman" w:cs="Times New Roman"/>
          <w:color w:val="000000"/>
        </w:rPr>
        <w:t xml:space="preserve"> </w:t>
      </w:r>
      <w:r w:rsidR="00940726" w:rsidRPr="00940726">
        <w:rPr>
          <w:rFonts w:ascii="Times New Roman" w:eastAsia="Times New Roman" w:hAnsi="Times New Roman" w:cs="Times New Roman"/>
          <w:color w:val="000000"/>
        </w:rPr>
        <w:t>Standar pelayanan farmasi di RSUD Praya Kabupaten Lombok Tengah belum terlaksana secara maksimal, terlihat dari nilai persentase kesesuaian beberapa aspek manajemen farmasi dan farmasi klinis yang masih di bawah 100% untuk pengelolaan sediaan farmasi, alkes, dan BMHP, serta di bawah 50% dengan kategori kurang baik untuk aspek pelayanan farmasi klinis, yang disebabkan oleh tidak maksimalnya proses evaluasi pelayanan, keterbatasan tenaga farmasi terlatih, ketidaklengkapan dokumentasi, dan fasilitas rumah sakit yang belum memadai.</w:t>
      </w:r>
    </w:p>
    <w:p w14:paraId="2E82BDAB" w14:textId="77777777" w:rsidR="00F32B32" w:rsidRPr="00AA7691" w:rsidRDefault="00BF5A86" w:rsidP="00F32B32">
      <w:pPr>
        <w:jc w:val="both"/>
        <w:rPr>
          <w:rFonts w:ascii="Times New Roman" w:hAnsi="Times New Roman"/>
          <w:b/>
          <w:bCs/>
          <w:sz w:val="24"/>
          <w:szCs w:val="24"/>
        </w:rPr>
      </w:pPr>
      <w:r>
        <w:rPr>
          <w:rFonts w:ascii="Times New Roman" w:eastAsia="Times New Roman" w:hAnsi="Times New Roman" w:cs="Times New Roman"/>
          <w:b/>
          <w:color w:val="000000"/>
        </w:rPr>
        <w:t xml:space="preserve">Kata kunci : </w:t>
      </w:r>
      <w:r w:rsidR="00F32B32" w:rsidRPr="00940726">
        <w:rPr>
          <w:rFonts w:ascii="Times New Roman" w:hAnsi="Times New Roman"/>
          <w:b/>
          <w:bCs/>
        </w:rPr>
        <w:t>Evaluasi</w:t>
      </w:r>
      <w:r w:rsidR="00F32B32" w:rsidRPr="00940726">
        <w:rPr>
          <w:rFonts w:ascii="Times New Roman" w:hAnsi="Times New Roman"/>
        </w:rPr>
        <w:t>, penerapan, standar pelayanan farmasi, rumah sakit  pemerintah, tipe c</w:t>
      </w:r>
    </w:p>
    <w:p w14:paraId="24248E55" w14:textId="68B32069" w:rsidR="00D01695" w:rsidRDefault="00D0169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2975247A" w14:textId="77777777" w:rsidR="00D01695" w:rsidRDefault="00BF5A8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ABSTRACT</w:t>
      </w:r>
    </w:p>
    <w:p w14:paraId="0E052EBF"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3D40FF14" w14:textId="77777777" w:rsidR="00F32B32" w:rsidRPr="00F32B32" w:rsidRDefault="00BF5A86" w:rsidP="00F32B32">
      <w:pPr>
        <w:pBdr>
          <w:top w:val="nil"/>
          <w:left w:val="nil"/>
          <w:bottom w:val="nil"/>
          <w:right w:val="nil"/>
          <w:between w:val="nil"/>
        </w:pBdr>
        <w:spacing w:after="0" w:line="240" w:lineRule="auto"/>
        <w:jc w:val="both"/>
        <w:rPr>
          <w:rFonts w:ascii="Times New Roman" w:eastAsia="Times New Roman" w:hAnsi="Times New Roman" w:cs="Times New Roman"/>
          <w:i/>
          <w:color w:val="000000"/>
          <w:lang w:val="en-US"/>
        </w:rPr>
      </w:pPr>
      <w:r>
        <w:rPr>
          <w:rFonts w:ascii="Times New Roman" w:eastAsia="Times New Roman" w:hAnsi="Times New Roman" w:cs="Times New Roman"/>
          <w:b/>
          <w:i/>
          <w:color w:val="000000"/>
        </w:rPr>
        <w:t>Background:</w:t>
      </w:r>
      <w:r>
        <w:rPr>
          <w:rFonts w:ascii="Times New Roman" w:eastAsia="Times New Roman" w:hAnsi="Times New Roman" w:cs="Times New Roman"/>
          <w:i/>
          <w:color w:val="000000"/>
        </w:rPr>
        <w:t xml:space="preserve"> </w:t>
      </w:r>
      <w:r w:rsidR="00F32B32" w:rsidRPr="00F32B32">
        <w:rPr>
          <w:rFonts w:ascii="Times New Roman" w:eastAsia="Times New Roman" w:hAnsi="Times New Roman" w:cs="Times New Roman"/>
          <w:i/>
          <w:iCs/>
          <w:color w:val="000000"/>
          <w:lang w:val="en-US"/>
        </w:rPr>
        <w:t>Hospital Pharmacy Facility (HPF) is a facilitator in establishing and implementing quality pharmaceutical services focused on providing safe, effective, timely medicines and guaranteeing patient safety. As one of the Type C hospitals and the first reference point for 1,099,211 people in Central Lombok, the Praya Regional General Hospital (RSUD) is committed to providing responsible and quality medical services.The purpose of this research to evaluate the application of standards of pharmaceutical services in RSUD Praya district of Central Lombok refers to Permenkes RI No.72 Year 2016 which includes: standards of management of pharmacy supplies, health devices, used medical materials; clinical pharmacy services; and Human Resources pharmacy. This research is qualitative with data collection techniques through interviews, observations and secondary data scanning. The results of the research showed that at the implementation of the new pharmaceutical management aspects implemented a maximum of 7 (78%) service aspects; clinical pharmaceuticals aspects as much as 7 (63.36%) services aspects Inpatient Care and 5 (45.45%) service aspect in the Road Care, further on the aspects of pharmacy personnels of 100%. Thus it can be concluded that RSUD Praya has not implemented Permenkes RI No.72 year 2016 as a maximum due to some impediments including the limitation of number of pharmacist personnel, incompleteness of documents and inadequate facilities.</w:t>
      </w:r>
    </w:p>
    <w:p w14:paraId="414464E4" w14:textId="03CC97C5" w:rsidR="00D01695" w:rsidRDefault="00BF5A86">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Methods</w:t>
      </w:r>
      <w:r>
        <w:rPr>
          <w:rFonts w:ascii="Times New Roman" w:eastAsia="Times New Roman" w:hAnsi="Times New Roman" w:cs="Times New Roman"/>
          <w:i/>
          <w:color w:val="000000"/>
        </w:rPr>
        <w:t xml:space="preserve">: </w:t>
      </w:r>
      <w:r w:rsidR="003F6561" w:rsidRPr="003F6561">
        <w:rPr>
          <w:rFonts w:ascii="Times New Roman" w:eastAsia="Times New Roman" w:hAnsi="Times New Roman" w:cs="Times New Roman"/>
          <w:i/>
          <w:color w:val="000000"/>
        </w:rPr>
        <w:t>This study is a qualitative study with a cross-sectional approach to evaluate pharmaceutical service standards in Type C Hospitals. Samples were taken using a saturated sampling technique involving all pharmaceutical personnel, including the Head Pharmacist and the Pharmacist in Charge of the Work Unit. Data collection was conducted through interviews and observations using a Guttman scale questionnaire, consent forms, and recording devices. The collected data were then scored based on “Yes” answers with a score of 1 or “No” answers with a score of 0, and the percentage of compliance was calculated according to the applicable assessment categories</w:t>
      </w:r>
      <w:r w:rsidR="003F6561">
        <w:rPr>
          <w:rFonts w:ascii="Times New Roman" w:eastAsia="Times New Roman" w:hAnsi="Times New Roman" w:cs="Times New Roman"/>
          <w:i/>
          <w:color w:val="000000"/>
        </w:rPr>
        <w:t>.</w:t>
      </w:r>
    </w:p>
    <w:p w14:paraId="77DF4E79" w14:textId="58923D98" w:rsidR="00D01695" w:rsidRDefault="00BF5A86">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Results</w:t>
      </w:r>
      <w:r>
        <w:rPr>
          <w:rFonts w:ascii="Times New Roman" w:eastAsia="Times New Roman" w:hAnsi="Times New Roman" w:cs="Times New Roman"/>
          <w:i/>
          <w:color w:val="000000"/>
        </w:rPr>
        <w:t xml:space="preserve">: </w:t>
      </w:r>
      <w:r w:rsidR="003F6561" w:rsidRPr="003F6561">
        <w:rPr>
          <w:rFonts w:ascii="Times New Roman" w:eastAsia="Times New Roman" w:hAnsi="Times New Roman" w:cs="Times New Roman"/>
          <w:i/>
          <w:color w:val="000000"/>
        </w:rPr>
        <w:t>The results of the study show that in the implementation of the new pharmacy management aspects, a maximum of 7 (78%) service aspects were implemented; clinical pharmacy aspects amounted to 7 (63.36%) service aspects in the Inpatient IFRS and 5 (45.45%) service aspects in the Outpatient IFRS, while the pharmaceutical human resources aspect was 100%. Therefore, it can be concluded that Praya Regional General Hospital has not fully implemented Indonesian Minister of Health Regulation No. 72 of 2016 due to several obstacles, including a limited number of pharmaceutical personnel, incomplete documentation, and inadequate facilities.</w:t>
      </w:r>
      <w:r>
        <w:rPr>
          <w:rFonts w:ascii="Times New Roman" w:eastAsia="Times New Roman" w:hAnsi="Times New Roman" w:cs="Times New Roman"/>
          <w:i/>
          <w:color w:val="000000"/>
        </w:rPr>
        <w:t xml:space="preserve">  </w:t>
      </w:r>
    </w:p>
    <w:p w14:paraId="4CD27B61" w14:textId="5E7BF0CF" w:rsidR="00D01695" w:rsidRDefault="00BF5A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i/>
          <w:color w:val="000000"/>
        </w:rPr>
        <w:t>Conclusion</w:t>
      </w:r>
      <w:r>
        <w:rPr>
          <w:rFonts w:ascii="Times New Roman" w:eastAsia="Times New Roman" w:hAnsi="Times New Roman" w:cs="Times New Roman"/>
          <w:i/>
          <w:color w:val="000000"/>
        </w:rPr>
        <w:t>:</w:t>
      </w:r>
      <w:r w:rsidR="003F6561" w:rsidRPr="003F6561">
        <w:t xml:space="preserve"> </w:t>
      </w:r>
      <w:r w:rsidR="003F6561" w:rsidRPr="003F6561">
        <w:rPr>
          <w:rFonts w:ascii="Times New Roman" w:eastAsia="Times New Roman" w:hAnsi="Times New Roman" w:cs="Times New Roman"/>
          <w:i/>
          <w:color w:val="000000"/>
        </w:rPr>
        <w:t>Pharmaceutical service standards at Praya Regional General Hospital in Central Lombok Regency have not been fully implemented, as evidenced by the fact that the percentage of compliance in several aspects of pharmaceutical management and clinical pharmacy is still below 100% for the management of pharmaceutical preparations, medical devices, and BMHP, and below 50% with a poor rating for clinical pharmacy services. This is due to suboptimal service evaluation processes, a shortage of trained pharmacy personnel, incomplete documentation, and inadequate hospital facilities.</w:t>
      </w:r>
    </w:p>
    <w:p w14:paraId="6D4F3B7F" w14:textId="77777777" w:rsidR="00F32B32" w:rsidRDefault="00BF5A86" w:rsidP="00F32B32">
      <w:pPr>
        <w:jc w:val="both"/>
        <w:rPr>
          <w:rFonts w:ascii="Times New Roman" w:hAnsi="Times New Roman"/>
          <w:i/>
          <w:iCs/>
          <w:sz w:val="24"/>
          <w:szCs w:val="24"/>
          <w:lang w:eastAsia="en-ID"/>
        </w:rPr>
      </w:pPr>
      <w:r>
        <w:rPr>
          <w:rFonts w:ascii="Times New Roman" w:eastAsia="Times New Roman" w:hAnsi="Times New Roman" w:cs="Times New Roman"/>
          <w:b/>
          <w:i/>
          <w:color w:val="000000"/>
        </w:rPr>
        <w:t>Keywords</w:t>
      </w:r>
      <w:r>
        <w:rPr>
          <w:rFonts w:ascii="Times New Roman" w:eastAsia="Times New Roman" w:hAnsi="Times New Roman" w:cs="Times New Roman"/>
          <w:i/>
          <w:color w:val="000000"/>
        </w:rPr>
        <w:t xml:space="preserve"> : </w:t>
      </w:r>
      <w:r w:rsidR="00F32B32">
        <w:rPr>
          <w:rFonts w:ascii="Times New Roman" w:hAnsi="Times New Roman"/>
          <w:i/>
          <w:iCs/>
          <w:sz w:val="24"/>
          <w:szCs w:val="24"/>
          <w:lang w:eastAsia="en-ID"/>
        </w:rPr>
        <w:t>Evaluation, implementation, pharmacy service standart, government hospital,ttype C</w:t>
      </w:r>
    </w:p>
    <w:p w14:paraId="41D42928" w14:textId="13AA5699" w:rsidR="00D01695" w:rsidRDefault="00D01695">
      <w:pPr>
        <w:pBdr>
          <w:top w:val="nil"/>
          <w:left w:val="nil"/>
          <w:bottom w:val="nil"/>
          <w:right w:val="nil"/>
          <w:between w:val="nil"/>
        </w:pBdr>
        <w:spacing w:after="0"/>
        <w:jc w:val="both"/>
        <w:rPr>
          <w:rFonts w:ascii="Times New Roman" w:eastAsia="Times New Roman" w:hAnsi="Times New Roman" w:cs="Times New Roman"/>
          <w:color w:val="000000"/>
        </w:rPr>
      </w:pPr>
    </w:p>
    <w:p w14:paraId="033BB31C" w14:textId="77777777" w:rsidR="00D01695" w:rsidRDefault="00D0169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p w14:paraId="2452E8E7"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1BBDB473"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57C051AE"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080A5901"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10053835"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34A0F9D"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B45C304"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7E574724"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75513659"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479EE15A"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5381EA0"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44FBAD4D"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06344043"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1D92034A"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0594E329" w14:textId="77777777" w:rsidR="00D01695" w:rsidRDefault="00D0169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BDB54FE" w14:textId="77777777" w:rsidR="00D01695" w:rsidRDefault="00BF5A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PENDAHULUAN </w:t>
      </w:r>
      <w:r>
        <w:rPr>
          <w:rFonts w:ascii="Times New Roman" w:eastAsia="Times New Roman" w:hAnsi="Times New Roman" w:cs="Times New Roman"/>
          <w:color w:val="000000"/>
          <w:sz w:val="24"/>
          <w:szCs w:val="24"/>
        </w:rPr>
        <w:t>(Times New Roman 12 point, Bold, spasi 1,5)</w:t>
      </w:r>
    </w:p>
    <w:p w14:paraId="453A2EF6"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Kesehatan menjadi suatu kebutuhan pokok dan penting bagi masyarakat di seluruh dunia bahkan di Indonesia. Seiring meningkatnya pengetahuan masyarakat terkait masalah pentingnya menjaga kesehatan maka tuntutan akan pelayanan kesehatan pun cendrung semakin tinggi. Rumah Sakit (RS) sebagai badan usaha dibidang kesehatan memiliki peran penting dalam rangka mengoptimalkan derajat kesehatan masyarakat. Secara garis besar RS memiliki fungsi dasar sebagai tempat pelayanan, pendidikan, pelatihan dan kesehatan masyarakat. Tujuan utama dari hadirnya RS disuatu daerah adalah untuk menyediakan layanan kesehatan yang komprehensif dan berkualitas kepada pasien. Sebagai salah satu intitusi penyedia layanan kesehatan paripurna bagi individu yang meliputi pelayanan rawat inap, rawat jalan, kegawatdaruratan dan fasilitas pelayanan kesehatan lainnya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{"citationItems":[{"id":"ITEM-1","itemData":{"ISBN":"602475163X","author":[{"dropping-particle":"","family":"Rikomah","given":"Setya Enti","non-dropping-particle":"","parse-names":false,"suffix":""}],"id":"ITEM-1","issued":{"date-parts":[["2017"]]},"publisher":"Deepublish","publisher-place":"Yogyakarta","title":"Farmasi Rumah Sakit","type":"book"},"uris":["http://www.mendeley.com/documents/?uuid=f4ee909b-f73c-44b3-9b8a-c7597bc8b2ad"]}],"mendeley":{"formattedCitation":"(Rikomah, 2017)","plainTextFormattedCitation":"(Rikomah, 2017)","previouslyFormattedCitation":"(Rikomah, 2017)"},"properties":{"noteIndex":0},"schema":"https://github.com/citation-style-language/schema/raw/master/csl-citation.json"}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(Rikomah, 2017)</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 xml:space="preserve">. Salah satu fasilitas pelayanan kesehatan lainnya adalah Instalasi Farmasi Rumh Sakit (IFRS) yang merupakan unit pelaksanaan fungsional penyelenggara seluruh kegiatan pelayanan kefarmasian di rumah sakit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{"citationItems":[{"id":"ITEM-1","itemData":{"DOI":"https://doi.org/10.35473/ijpnp.v3i2.665","abstract":"Kepuasan konsumen adalah tanggapan pelanggan atau pengguna jasa untuk setiap pelayanan yang diberikan. Kepuasan konsumen atau kepuasan pasien dapat dikatakan sebagai tolak ukur untuk mengetahui kualitas pelayanan yang diberikan oleh Instalasi Farmasi Rumah Sakit tertentu. Tujuan penelitian ini adalah menganalisis tingkat kepuasan pasien terhadap pelayanan kefarmasian di Instalasi Farmasi Rumah Sakit Bhakti Wira Tamtama Semarang. Penelitian ini merupakan penelitian kuantitatif dengan rancangan analisis yang digunakan yaitu metode deskriptif dengan instrumen penelitian yang digunakan berupa kuisioner. Pengambilan data dilakukan dengan teknik purposive samplingdan menggunakan 100 respondenrawat jalan dan 100 responden rawat inap.Data yang diperoleh dihitung menggunakan metode servqual dan dipetakan kedalamdiagram kartesius. Hasil penelitian pada rawat jalan menunjukan bahwa nilai gap dimensi perhatian (Emphaty)sebesar 1,24 (puas), dimensi bukti langsung (Tangible)sebesar 1,15 (puas), dimensi jaminan (Assurance)sebesar 1,03 (puas), dimensi daya tanggap (Responsiveness)sebesar 0,99 (puas) dan dimensi kehandalan (Reliability)sebesar 0,97 (puas)sedangkan hasil penelitian pada rawat inap nilai gap dimensiresponsiveness(ketanggapan) sebesar 1,25(puas), dimensi reliability(kehandalan) sebesar 1,27 (puas), dimensi assurance(jaminan kepastian) sebesar 0,80 (puas), dimensi tangible(wujud nyata) sebesar 1,38 (puas)dan dimensi emphaty(perhatian) sebesar 1,21 (puas).Kualitas pelayanan di rawat jalan dikategorikan puas dengan nilairata-rata kenyataan 4,50 harapan 3,42dan nilai rata-rata GAP 1,08.Kualitas pelayanan di rawat inapdikategorikan puas dengan nilai rata-rata kenyataan 4,57, nilai rata-rata harapan 3,39, dan nilai rata-rata GAP 1,18.","author":[{"dropping-particle":"","family":"Yuswantina","given":"Richa","non-dropping-particle":"","parse-names":false,"suffix":""},{"dropping-particle":"","family":"Dyahariesti","given":"Niken","non-dropping-particle":"","parse-names":false,"suffix":""},{"dropping-particle":"","family":"Rahmawati","given":"Nadia Rizqi","non-dropping-particle":"","parse-names":false,"suffix":""},{"dropping-particle":"","family":"Sukma","given":"Nita","non-dropping-particle":"","parse-names":false,"suffix":""}],"container-title":"Indonesian Journal of Pharmacy and Natural Product","id":"ITEM-1","issue":"2","issued":{"date-parts":[["2020"]]},"page":"59-67","title":"Analisis Tingkat Kepuasan Pasien Terhadap Pelayanan Kefarmasian Di Rumah Sakit Bhakti Wira Tamtama Semarang","type":"article-journal","volume":"3"},"uris":["http://www.mendeley.com/documents/?uuid=390d3d94-25de-4762-9469-db240fbd4ccd"]}],"mendeley":{"formattedCitation":"(Yuswantina et al., 2020)","plainTextFormattedCitation":"(Yuswantina et al., 2020)","previouslyFormattedCitation":"(Yuswantina et al., 2020)"},"properties":{"noteIndex":0},"schema":"https://github.com/citation-style-language/schema/raw/master/csl-citation.json"}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(Yuswantina et al., 2020)</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w:t>
      </w:r>
    </w:p>
    <w:p w14:paraId="6428712D"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bookmarkStart w:id="0" w:name="_Hlk162812579"/>
      <w:r w:rsidRPr="00F32B32">
        <w:rPr>
          <w:rFonts w:ascii="Times New Roman" w:eastAsia="Times New Roman" w:hAnsi="Times New Roman" w:cs="Times New Roman"/>
          <w:color w:val="000000"/>
          <w:lang w:val="en-US"/>
        </w:rPr>
        <w:t xml:space="preserve">Pelayanan kefarmasian di RS adalah layananan yang diberikan RS kepda masyarakat terkait tugas dan tanggung jawab apoteker dan tenaga kefarmasian guna mendukung layanan perawatan kesehatan pasien di lingkungannya. Konsep dasar dalam standart pelayanan kefarmasian mengacu pada </w:t>
      </w:r>
      <w:r w:rsidRPr="00F32B32">
        <w:rPr>
          <w:rFonts w:ascii="Times New Roman" w:eastAsia="Times New Roman" w:hAnsi="Times New Roman" w:cs="Times New Roman"/>
          <w:i/>
          <w:iCs/>
          <w:color w:val="000000"/>
          <w:lang w:val="en-US"/>
        </w:rPr>
        <w:t>pharmaceutical care</w:t>
      </w:r>
      <w:r w:rsidRPr="00F32B32">
        <w:rPr>
          <w:rFonts w:ascii="Times New Roman" w:eastAsia="Times New Roman" w:hAnsi="Times New Roman" w:cs="Times New Roman"/>
          <w:color w:val="000000"/>
          <w:lang w:val="en-US"/>
        </w:rPr>
        <w:t xml:space="preserve"> </w:t>
      </w:r>
      <w:bookmarkEnd w:id="0"/>
      <w:r w:rsidRPr="00F32B32">
        <w:rPr>
          <w:rFonts w:ascii="Times New Roman" w:eastAsia="Times New Roman" w:hAnsi="Times New Roman" w:cs="Times New Roman"/>
          <w:color w:val="000000"/>
          <w:lang w:val="en-US"/>
        </w:rPr>
        <w:t xml:space="preserve">yang berorientasi kepada pasien. </w:t>
      </w:r>
      <w:bookmarkStart w:id="1" w:name="_Hlk162812630"/>
      <w:r w:rsidRPr="00F32B32">
        <w:rPr>
          <w:rFonts w:ascii="Times New Roman" w:eastAsia="Times New Roman" w:hAnsi="Times New Roman" w:cs="Times New Roman"/>
          <w:color w:val="000000"/>
          <w:lang w:val="en-US"/>
        </w:rPr>
        <w:t>IFRS menjadi fasilitator dalam mewujudkan dan melaksanakan pelayanan kefarmasian yang bertanggung jawab dan berorientasi kepada pasien terkait penyediaan sediaan farmasi, alat kesehatan, dan bahan medis habis pakai yang bermutu dan terjangkau bagi semua lapisan masyarakat termasuk juga pelayanan farmasi klinis</w:t>
      </w:r>
      <w:bookmarkEnd w:id="1"/>
      <w:r w:rsidRPr="00F32B32">
        <w:rPr>
          <w:rFonts w:ascii="Times New Roman" w:eastAsia="Times New Roman" w:hAnsi="Times New Roman" w:cs="Times New Roman"/>
          <w:color w:val="000000"/>
          <w:lang w:val="en-US"/>
        </w:rPr>
        <w:t xml:space="preserve">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{"citationItems":[{"id":"ITEM-1","itemData":{"author":[{"dropping-particle":"","family":"Kemenkes RI","given":"","non-dropping-particle":"","parse-names":false,"suffix":""}],"id":"ITEM-1","issued":{"date-parts":[["2016"]]},"number":"72","publisher-place":"Jakarta, Indonesia","title":"PERMENKES RI No.72 Tahun 2016 TENTANG STANDAR PELAYANAN KEFARMASIAN DI RUMAH SAKIT","type":"article"},"uris":["http://www.mendeley.com/documents/?uuid=016cfa8a-7550-487e-a8fc-79c7be5a14b5"]}],"mendeley":{"formattedCitation":"(Kemenkes RI, 2016)","plainTextFormattedCitation":"(Kemenkes RI, 2016)","previouslyFormattedCitation":"(Kemenkes RI, 2016)"},"properties":{"noteIndex":0},"schema":"https://github.com/citation-style-language/schema/raw/master/csl-citation.json"}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(Kemenkes RI, 2016)</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 xml:space="preserve">. Sebagai bagian penting dan tidak dapat terpisahkan dari sistem pelayanan kesehatan rumah sakit </w:t>
      </w:r>
      <w:bookmarkStart w:id="2" w:name="_Hlk162812779"/>
      <w:r w:rsidRPr="00F32B32">
        <w:rPr>
          <w:rFonts w:ascii="Times New Roman" w:eastAsia="Times New Roman" w:hAnsi="Times New Roman" w:cs="Times New Roman"/>
          <w:color w:val="000000"/>
          <w:lang w:val="en-US"/>
        </w:rPr>
        <w:t xml:space="preserve">IFRS memiliki pengaruh yang sangat strategis disuatu rumah sakit, hal ini ditunjukkan dengan besarnya kontribusi sektor farmasi yang dapat mencapai 50% hingga 60% anggaran pembiayaan di rumah sakit </w:t>
      </w:r>
      <w:bookmarkEnd w:id="2"/>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{"citationItems":[{"id":"ITEM-1","itemData":{"DOI":"https://doi.org/10.37311/jsscr.v2i1.4514","abstract":"Instalasi Farmasi sebagai tempat pengabdian profesi di rumah sakit dan salah satu unit pelayanan utama rumah sakit mempunyai peran dan fungsi yang sangat penting dalam menunjang pelayanan kesehatan yang bermutu. Salah satu usaha untuk meningkatkan mutu pelayanan instalasi farmasi dapat dilakukan dengan melaksanakan standar pelayanan farmasi rumah sakit. Penelitian ini bertujuan untuk mengetahui gambaran Pelaksanaan Standar Pelayanan Kefarmasian di Rumah Sakit Umum Daerah Kelas C di Propinsi Nusa Tenggara Barat, serta faktor pendukung atau penghambat dalam pelaksanaan. Penelitian ini merupakan penelitian deskriptif. Penelitian dilakukan di 3 Rumah Sakit Umum Daerah Kelas C di Propinsi Nusa Tenggara Barat. Pengumpulan data dilakukan menggunakan pedoman wawancara pelaksanaan standar pelayanan farmasi rumah sakit. Penilaian meliputi tujuh standar yang terbagi dalam dua puluh tiga parameter. Suatu Instalasi Farmasi Rumah Sakit dikatakan telah sesuai dengan standar jika nilai persentase rata-rata pencapaian standar lebih dari 75% sebaliknya jika kurang dari 75% dikatakan tidak sesuai standar. Hasil penelitian menunjukkan bahwa pelaksanaan standar pelayanan kefarmasian di Rumah Sakit Umum Daerah Kelas C di Propinsi Nusa Tenggara Barat belum terlaksana dengan baik, ini dapat dilihat dari hasil yang menunjukkan persentase pencapain standar dari ketiga rumah sakit masih kurang dari 75 %. Persentase pencapain standar dari Rumah Sakit A (52,17%), Rumah Sakit B (54,78%) dan Rumah Sakit C (44,35%).","author":[{"dropping-particle":"","family":"Sidrotullah","given":"M","non-dropping-particle":"","parse-names":false,"suffix":""},{"dropping-particle":"","family":"Pahmi","given":"Khairil","non-dropping-particle":"","parse-names":false,"suffix":""}],"container-title":"Journal Syifa Sciences and Clinical Research","id":"ITEM-1","issue":"1","issued":{"date-parts":[["2020"]]},"page":"21-30","title":"Evaluasi Pelaksanaan Standar Pelayanan Farmasi Di Rumah Sakit Umum Daerah Kelas C di Propinsi Nusa Tenggara Barat","type":"article-journal","volume":"2"},"uris":["http://www.mendeley.com/documents/?uuid=c1503025-12e5-4a75-a4af-75471f55c5bf"]}],"mendeley":{"formattedCitation":"(Sidrotullah &amp; Pahmi, 2020)","plainTextFormattedCitation":"(Sidrotullah &amp; Pahmi, 2020)","previouslyFormattedCitation":"(Sidrotullah &amp; Pahmi, 2020)"},"properties":{"noteIndex":0},"schema":"https://github.com/citation-style-language/schema/raw/master/csl-citation.json"}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(Sidrotullah &amp; Pahmi, 2020)</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w:t>
      </w:r>
    </w:p>
    <w:p w14:paraId="7E8AB511"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bookmarkStart w:id="3" w:name="_Hlk162860974"/>
      <w:r w:rsidRPr="00F32B32">
        <w:rPr>
          <w:rFonts w:ascii="Times New Roman" w:eastAsia="Times New Roman" w:hAnsi="Times New Roman" w:cs="Times New Roman"/>
          <w:color w:val="000000"/>
          <w:lang w:val="en-US"/>
        </w:rPr>
        <w:t>Layanan Instalasi Farmasi Rumah Sakit (IFRS) yang berkualitas memiliki fokus  penting dalam menyediakan obat-obatan yang aman, efektif, dan tepat waktu kepada pasien serta menjamin keberlangsungan dan keselamatan pasien.</w:t>
      </w:r>
      <w:bookmarkEnd w:id="3"/>
      <w:r w:rsidRPr="00F32B32">
        <w:rPr>
          <w:rFonts w:ascii="Times New Roman" w:eastAsia="Times New Roman" w:hAnsi="Times New Roman" w:cs="Times New Roman"/>
          <w:color w:val="000000"/>
          <w:lang w:val="en-US"/>
        </w:rPr>
        <w:t xml:space="preserve"> Fasilitas farmasi dapat menjamin kesinambungan terapi pengobatan pasien dan keamanan bagi pengguna dengan berfokus pada aspek-aspek berikut:</w:t>
      </w:r>
    </w:p>
    <w:p w14:paraId="2A5158B2" w14:textId="77777777" w:rsidR="00F32B32" w:rsidRPr="00F32B32" w:rsidRDefault="00F32B32" w:rsidP="00940726">
      <w:pPr>
        <w:numPr>
          <w:ilvl w:val="0"/>
          <w:numId w:val="3"/>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Penyiapan obat yang aman: </w:t>
      </w:r>
    </w:p>
    <w:p w14:paraId="0DC46089"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Menyediakan obat  dalam kondisi yang sesuai untuk praktik medis dan aman  digunakan oleh pasien. Hal ini mencakup pengujian kualitas obat, pemantauan penyimpanan yang tepat, dan pengelolaan obat yang tidak disetujui atau kadaluarsa.</w:t>
      </w:r>
    </w:p>
    <w:p w14:paraId="41B82044" w14:textId="77777777" w:rsidR="00F32B32" w:rsidRPr="00F32B32" w:rsidRDefault="00F32B32" w:rsidP="00940726">
      <w:pPr>
        <w:numPr>
          <w:ilvl w:val="0"/>
          <w:numId w:val="3"/>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Penggunaan obat secara efektif: </w:t>
      </w:r>
    </w:p>
    <w:p w14:paraId="4FBAA8E5"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lastRenderedPageBreak/>
        <w:t>Memastikan obat yang diberikan efektif menangani kondisi medis pasien sesuai dengan standar perawatan yang berlaku.</w:t>
      </w:r>
    </w:p>
    <w:p w14:paraId="46EE2B03" w14:textId="77777777" w:rsidR="00F32B32" w:rsidRPr="00F32B32" w:rsidRDefault="00F32B32" w:rsidP="00940726">
      <w:pPr>
        <w:numPr>
          <w:ilvl w:val="0"/>
          <w:numId w:val="3"/>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Pengobatan Tepat Waktu: </w:t>
      </w:r>
    </w:p>
    <w:p w14:paraId="39F4F96B"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Memastikan pasien menerima pengobatan sesuai dengan rencana pengobatan yang ditentukan sehingga terapi obat  berjalan lancar dan efektif.</w:t>
      </w:r>
    </w:p>
    <w:p w14:paraId="5F64F50F" w14:textId="77777777" w:rsidR="00F32B32" w:rsidRPr="00F32B32" w:rsidRDefault="00F32B32" w:rsidP="00940726">
      <w:pPr>
        <w:numPr>
          <w:ilvl w:val="0"/>
          <w:numId w:val="3"/>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Kontinuitas Pengobatan:</w:t>
      </w:r>
    </w:p>
    <w:p w14:paraId="3F1A2BBF"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Memantau kepatuhan pasien terhadap pengobatan, memberikan informasi yang jelas tentang penggunaan obat, dan membantu pasien menggunakan obatnya secara konsisten dan lancar.</w:t>
      </w:r>
    </w:p>
    <w:p w14:paraId="6A0D1C6B" w14:textId="77777777" w:rsidR="00F32B32" w:rsidRPr="00F32B32" w:rsidRDefault="00F32B32" w:rsidP="00940726">
      <w:pPr>
        <w:numPr>
          <w:ilvl w:val="0"/>
          <w:numId w:val="3"/>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Keamanan Pengguna Obat: </w:t>
      </w:r>
    </w:p>
    <w:p w14:paraId="14083381"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Meminimalkan risiko kesalahan pengobatan, interaksi obat,  dan efek samping yang merugikan melalui pendidikan pasien yang komprehensif dan konseling pengobatan yang tepat.</w:t>
      </w:r>
    </w:p>
    <w:p w14:paraId="19AC8E4B"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 </w:t>
      </w:r>
      <w:r w:rsidRPr="00F32B32">
        <w:rPr>
          <w:rFonts w:ascii="Times New Roman" w:eastAsia="Times New Roman" w:hAnsi="Times New Roman" w:cs="Times New Roman"/>
          <w:color w:val="000000"/>
          <w:lang w:val="en-US"/>
        </w:rPr>
        <w:tab/>
        <w:t>Dengan menerapkan praktik-praktik ini, layanan IFRS dapat memainkan peran penting dalam memastikan bahwa pasien menerima perawatan obat yang berkualitas tinggi dan aman serta memberikan manfaat  kesehatan yang optimal. Agar penerapan pelayanan kefarmasian di RS berjalan dengan profesional dan guna  menjamin mutu pelayanan kefarmasian kepada masyarakat, maka pemerintah menerbitkan Peraturan Menteri Kesehatan RI Nomor 72 tahun 2016 tentang standar pelayanan farmasi di RS yang berorientasi pada pasien (</w:t>
      </w:r>
      <w:r w:rsidRPr="00F32B32">
        <w:rPr>
          <w:rFonts w:ascii="Times New Roman" w:eastAsia="Times New Roman" w:hAnsi="Times New Roman" w:cs="Times New Roman"/>
          <w:i/>
          <w:color w:val="000000"/>
          <w:lang w:val="en-US"/>
        </w:rPr>
        <w:t>patient oriented</w:t>
      </w:r>
      <w:r w:rsidRPr="00F32B32">
        <w:rPr>
          <w:rFonts w:ascii="Times New Roman" w:eastAsia="Times New Roman" w:hAnsi="Times New Roman" w:cs="Times New Roman"/>
          <w:color w:val="000000"/>
          <w:lang w:val="en-US"/>
        </w:rPr>
        <w:t xml:space="preserve">). Hadirnya Permenkes ini diharapkan mampu meningkatkan kepuasan pasien terhadap pelayanan kefarmasian khususnya di RS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{"citationItems":[{"id":"ITEM-1","itemData":{"abstract":"Pelayanan farmasi rumah sakit adalah bagian yang tidak dapat dipisahkan dari sistem pelayanan kesehatan rumah sakit. Pelayanan farmasi klinis merupakan pelayanan yang berinteraksi dengan pasien secara langsung dengan dibantu oleh tim kesehatan lainnya untuk meningkatkan kualitas terapi obat. Penelitian ini bertujuan untuk mengetahui gambaran penerapan standar pelayanan farmasi klinis di RSUD Ade M. Djoen berdasarkan Permenkes Nomor 72 tahun 2016. Penelitian ini merupakan penelitian yang bersifat deskriptif. . Metode yang digunakan yaitu metode cross sectional. Pengumpulan data pada penelitian ini menggunakan wawancara langsung. Hasil penelitian menunjukan bahwa berdasarkan penelitian di RSUD Ade M. Djoen baru melaksanakan pelayanan farmasi klinis yaitu pengkajian dan pelayanan resep pelayanan informasi obat, rekonsiliasi obat, konseling (pasien vip), dan visite (pasien vip). Hal ini dikarenakan kurangnya jumlah Apoteker di Rumah Sakit. Jumlah apoteker yang masih terbilang sedikit menyebabkan belum bisa terlaksana nya pelayanan farmasi klinis secara maksimal. Kesimpulannya RSUD Ade Muhammad Djoen Kabupaten Sintang baru melaksanakan 55,56 % pelayanan farmasi klinis dari 11 aspek yang diatur dalam Permenkes Nomor 72 Tahun 2016.","author":[{"dropping-particle":"","family":"Lolita","given":"Deti","non-dropping-particle":"","parse-names":false,"suffix":""},{"dropping-particle":"","family":"Yuswar","given":"M.Akib","non-dropping-particle":"","parse-names":false,"suffix":""},{"dropping-particle":"","family":"Untari","given":"Eka Kartika","non-dropping-particle":"","parse-names":false,"suffix":""}],"container-title":"Jurnal Mahasiswa Farmasi Fakultas Kedokteran UNTAN","id":"ITEM-1","issue":"1","issued":{"date-parts":[["2019"]]},"title":"PENERAPAN PELAYANAN FARMASI KLINIS DI RSUD ADE MUHAMMAD DJOEN KABUPATEN SINTANG TAHUN 2018 BERDASARKAN PERATURAN MENTERI KESEHATAN REPUBLIK INDONESIA NOMOR 72 Tahun 2016","type":"article-journal","volume":"4"},"uris":["http://www.mendeley.com/documents/?uuid=22416678-f895-4391-b7f4-3e2b06699f89"]}],"mendeley":{"formattedCitation":"(Lolita et al., 2019)","plainTextFormattedCitation":"(Lolita et al., 2019)","previouslyFormattedCitation":"(Lolita et al., 2019)"},"properties":{"noteIndex":0},"schema":"https://github.com/citation-style-language/schema/raw/master/csl-citation.json"}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(Lolita et al., 2019)</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w:t>
      </w:r>
    </w:p>
    <w:p w14:paraId="0BDB9017"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bookmarkStart w:id="4" w:name="_Hlk162812863"/>
      <w:r w:rsidRPr="00F32B32">
        <w:rPr>
          <w:rFonts w:ascii="Times New Roman" w:eastAsia="Times New Roman" w:hAnsi="Times New Roman" w:cs="Times New Roman"/>
          <w:color w:val="000000"/>
          <w:lang w:val="en-US"/>
        </w:rPr>
        <w:t xml:space="preserve">Rumah Sakit Umum Daerah (RSUD) Praya yang terletak di Kabupaten Lombok Tengah, Provinsi Nusa Tenggara Barat. RSUD  Praya menjadi salah satu RS rujukan pilihan pertama bagi 1.099.211 jiwa masyarakat di Lombok Tengah </w:t>
      </w:r>
      <w:bookmarkEnd w:id="4"/>
      <w:r w:rsidRPr="00F32B32">
        <w:rPr>
          <w:rFonts w:ascii="Times New Roman" w:eastAsia="Times New Roman" w:hAnsi="Times New Roman" w:cs="Times New Roman"/>
          <w:color w:val="000000"/>
          <w:lang w:val="en-US"/>
        </w:rPr>
        <w:t xml:space="preserve">yang memiliki gangguan kesehatan namun belum mendapatkan pelayanan kesehatan di fasilitas kesehatan tingkat pertama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{"citationItems":[{"id":"ITEM-1","itemData":{"DOI":"1102001.5202","author":[{"dropping-particle":"","family":"Badan Pusat Statistik Lombok Tengah","given":"","non-dropping-particle":"","parse-names":false,"suffix":""}],"id":"ITEM-1","issued":{"date-parts":[["2024"]]},"publisher-place":"Praya","title":"Kabupaten Lombok Tengah Dalam Angka Tahun 2024","type":"report"},"uris":["http://www.mendeley.com/documents/?uuid=50629a39-6dc2-4598-967d-25cb0a8e9f31"]}],"mendeley":{"formattedCitation":"(Badan Pusat Statistik Lombok Tengah, 2024)","plainTextFormattedCitation":"(Badan Pusat Statistik Lombok Tengah, 2024)","previouslyFormattedCitation":"(Badan Pusat Statistik Lombok Tengah, 2024)"},"properties":{"noteIndex":0},"schema":"https://github.com/citation-style-language/schema/raw/master/csl-citation.json"}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(Badan Pusat Statistik Lombok Tengah, 2024)</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 xml:space="preserve">. </w:t>
      </w:r>
      <w:bookmarkStart w:id="5" w:name="_Hlk162812900"/>
      <w:r w:rsidRPr="00F32B32">
        <w:rPr>
          <w:rFonts w:ascii="Times New Roman" w:eastAsia="Times New Roman" w:hAnsi="Times New Roman" w:cs="Times New Roman"/>
          <w:color w:val="000000"/>
          <w:lang w:val="en-US"/>
        </w:rPr>
        <w:t>Sebagai rumah sakit pemerintah Tipe C, peran pelayanan kefarmasian berkontribusi besar guna memastikan pelayanan kesehatan dasar dan menengah yang berfokus pada layanan umum seperti: rawat jalan, rawat inap, unit gawat darurat dan spesialis tertentu berkualitas dan aman</w:t>
      </w:r>
      <w:bookmarkEnd w:id="5"/>
      <w:r w:rsidRPr="00F32B32">
        <w:rPr>
          <w:rFonts w:ascii="Times New Roman" w:eastAsia="Times New Roman" w:hAnsi="Times New Roman" w:cs="Times New Roman"/>
          <w:color w:val="000000"/>
          <w:lang w:val="en-US"/>
        </w:rPr>
        <w:t xml:space="preserve">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{"citationItems":[{"id":"ITEM-1","itemData":{"DOI":"https://doi.org/10.31004/jkt.v4i4.21500","abstract":"The aim of the research is to analyze drug planning at the UPTD Pharmacy Installation at Manembo- Nembo Type C Bitung Hospital. This research uses a qualitative method which aims to obtain complete and in-depth information about Planning, Procurement and Control of Medicines in the Pharmacy Installation of the Manembonembo Bitung Regional General Hospital. The research was carried out at the Pharmacy Installation of the Regional Technical Implementation Unit of the Manembo Nembo Type C Bitung Hospital. The process of planning drug needs at the Manembo Nembo Type C Bitung General Hospital Pharmacy Installation according to Minister of Health Regulation 72 of 2016 concerning pharmaceutical service standards has been carried out using the consumption method, but the process of obtaining planning data is still done manually, not yet digitized, causing the data obtained less effective and the budget for drug needs is still insufficient so that drug shortages still occur. The drug procurement process at the Manembo Nembo Type C Bitung General Hospital Pharmacy Installation according to Minister of Health Regulation 72 of 2016 concerning pharmaceutical service standards has been carried out using the E Purchasing method, but the implementation has not been carried out at the Hospital so that with the procurement process being too long there is often a delay in the supply of medicines from distributor","author":[{"dropping-particle":"","family":"Pratasik","given":"Anita Linda Yohana","non-dropping-particle":"","parse-names":false,"suffix":""},{"dropping-particle":"","family":"Fatimawali","given":"","non-dropping-particle":"","parse-names":false,"suffix":""},{"dropping-particle":"","family":"Sumampouw","given":"Oksfriani J.","non-dropping-particle":"","parse-names":false,"suffix":""}],"container-title":"Jurnal Kesehatan Tambusai","id":"ITEM-1","issue":"44","issued":{"date-parts":[["2023"]]},"page":"5249-5266","title":"ANALISIS PERENCANAAN, PENGADAAN, DAN PENGENDALIAN OBAT DI INSTALASI FARMASI UNIT PELAKSANA TEKNIS DAERAH RUMAH SAKIT MANEMBO NEMBO TIPE C BITUNG","type":"article-journal","volume":"4"},"uris":["http://www.mendeley.com/documents/?uuid=f2cce7de-9146-40b4-8bfb-1e14a4c2d32f"]}],"mendeley":{"formattedCitation":"(Pratasik et al., 2023)","plainTextFormattedCitation":"(Pratasik et al., 2023)","previouslyFormattedCitation":"(Pratasik et al., 2023)"},"properties":{"noteIndex":0},"schema":"https://github.com/citation-style-language/schema/raw/master/csl-citation.json"}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(Pratasik et al., 2023)</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 xml:space="preserve"> .</w:t>
      </w:r>
    </w:p>
    <w:p w14:paraId="013388B8" w14:textId="77777777" w:rsidR="00F32B32" w:rsidRPr="00F32B32" w:rsidRDefault="00F32B32" w:rsidP="00F32B3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bookmarkStart w:id="6" w:name="_Hlk162813533"/>
      <w:r w:rsidRPr="00F32B32">
        <w:rPr>
          <w:rFonts w:ascii="Times New Roman" w:eastAsia="Times New Roman" w:hAnsi="Times New Roman" w:cs="Times New Roman"/>
          <w:color w:val="000000"/>
          <w:lang w:val="en-US"/>
        </w:rPr>
        <w:t xml:space="preserve">Penelitian bertujuan untuk mengevaluasi penerapan standar pelayanan farmasi di RSUD Praya Kab Lombok Tengah </w:t>
      </w:r>
      <w:bookmarkEnd w:id="6"/>
      <w:r w:rsidRPr="00F32B32">
        <w:rPr>
          <w:rFonts w:ascii="Times New Roman" w:eastAsia="Times New Roman" w:hAnsi="Times New Roman" w:cs="Times New Roman"/>
          <w:color w:val="000000"/>
          <w:lang w:val="en-US"/>
        </w:rPr>
        <w:t xml:space="preserve">meliputi </w:t>
      </w:r>
      <w:bookmarkStart w:id="7" w:name="_Hlk162860727"/>
      <w:r w:rsidRPr="00F32B32">
        <w:rPr>
          <w:rFonts w:ascii="Times New Roman" w:eastAsia="Times New Roman" w:hAnsi="Times New Roman" w:cs="Times New Roman"/>
          <w:color w:val="000000"/>
          <w:lang w:val="en-US"/>
        </w:rPr>
        <w:t xml:space="preserve">standar pengelolaan sediaan farmasi, alat kesehatan, dan bahan medis habis pakai, pelayanan farmasi klinis dan SDM kefarmasian </w:t>
      </w:r>
      <w:bookmarkEnd w:id="7"/>
      <w:r w:rsidRPr="00F32B32">
        <w:rPr>
          <w:rFonts w:ascii="Times New Roman" w:eastAsia="Times New Roman" w:hAnsi="Times New Roman" w:cs="Times New Roman"/>
          <w:color w:val="000000"/>
          <w:lang w:val="en-US"/>
        </w:rPr>
        <w:t>yang mengacu pada Permenkes RI Nomor 72 tahun 2016 tentang standar Pelayanan Farmasi di Rumah Sakit. Sehingga hasil dari penelitian ini mampu memberikan keterbaruan informasi dan ilmu pengetahuan guna meningkatkan kualitas pelayanan kefarmasian di Rumah Sakit Tipe C.</w:t>
      </w:r>
    </w:p>
    <w:p w14:paraId="2E207FAA" w14:textId="77777777" w:rsidR="00D01695" w:rsidRDefault="00D0169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2FCE6CEF" w14:textId="2C12B1B3" w:rsidR="00D01695" w:rsidRDefault="00BF5A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METODE </w:t>
      </w:r>
    </w:p>
    <w:p w14:paraId="2A79BB93" w14:textId="77777777" w:rsidR="00F32B32" w:rsidRPr="00F32B32" w:rsidRDefault="00F32B32" w:rsidP="00F32B3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lastRenderedPageBreak/>
        <w:t>Penelitian ini merupakan penelitian kualitatif dengan pendekatan</w:t>
      </w:r>
      <w:r w:rsidRPr="00F32B32">
        <w:rPr>
          <w:rFonts w:ascii="Times New Roman" w:eastAsia="Times New Roman" w:hAnsi="Times New Roman" w:cs="Times New Roman"/>
          <w:i/>
          <w:color w:val="000000"/>
          <w:lang w:val="en-US"/>
        </w:rPr>
        <w:t xml:space="preserve"> crosectional </w:t>
      </w:r>
      <w:r w:rsidRPr="00F32B32">
        <w:rPr>
          <w:rFonts w:ascii="Times New Roman" w:eastAsia="Times New Roman" w:hAnsi="Times New Roman" w:cs="Times New Roman"/>
          <w:color w:val="000000"/>
          <w:lang w:val="en-US"/>
        </w:rPr>
        <w:t xml:space="preserve">untuk mengevaluasi standar pelayanan kefarmasian di Rumah Sakit Tipe C yang meliputi, pengelolaan sediaan farmasi alat kesehatan, dan bahan medis habis pakai, pelayanan farmasi klinik dan SDM kefarmasian. </w:t>
      </w:r>
    </w:p>
    <w:p w14:paraId="1B1DCA53" w14:textId="77777777" w:rsidR="00F32B32" w:rsidRPr="00F32B32" w:rsidRDefault="00F32B32" w:rsidP="00F32B3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Populasi dalam penelitian ini adalah seluruh Sumber Daya Tenaga Kefarmasian di lingkup Rumah Sakit. Teknik pengambilan sampel yang digunakan pada penelitian ini     menggunakan sampel jenuh. Narasumber dalam penelitian adalah Apoteker Kepala Instalasi, Apoteker Penanggung Jawab Unit Kerja atau Tenaga kefarmasian. Teknik pengumpulan data dilakukan dengan metode wawancara dan observasional. </w:t>
      </w:r>
    </w:p>
    <w:p w14:paraId="60E79669" w14:textId="77777777" w:rsidR="00F32B32" w:rsidRPr="00F32B32" w:rsidRDefault="00F32B32" w:rsidP="00F32B3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Instrumen pada penelitian ini berupa lembar kuisioner menggunakan skala </w:t>
      </w:r>
      <w:r w:rsidRPr="00F32B32">
        <w:rPr>
          <w:rFonts w:ascii="Times New Roman" w:eastAsia="Times New Roman" w:hAnsi="Times New Roman" w:cs="Times New Roman"/>
          <w:i/>
          <w:iCs/>
          <w:color w:val="000000"/>
          <w:lang w:val="en-US"/>
        </w:rPr>
        <w:t>guttman</w:t>
      </w:r>
      <w:r w:rsidRPr="00F32B32">
        <w:rPr>
          <w:rFonts w:ascii="Times New Roman" w:eastAsia="Times New Roman" w:hAnsi="Times New Roman" w:cs="Times New Roman"/>
          <w:color w:val="000000"/>
          <w:lang w:val="en-US"/>
        </w:rPr>
        <w:t>, lembar persetujuan (</w:t>
      </w:r>
      <w:r w:rsidRPr="00F32B32">
        <w:rPr>
          <w:rFonts w:ascii="Times New Roman" w:eastAsia="Times New Roman" w:hAnsi="Times New Roman" w:cs="Times New Roman"/>
          <w:i/>
          <w:color w:val="000000"/>
          <w:lang w:val="en-US"/>
        </w:rPr>
        <w:t>informet consent)</w:t>
      </w:r>
      <w:r w:rsidRPr="00F32B32">
        <w:rPr>
          <w:rFonts w:ascii="Times New Roman" w:eastAsia="Times New Roman" w:hAnsi="Times New Roman" w:cs="Times New Roman"/>
          <w:i/>
          <w:iCs/>
          <w:color w:val="000000"/>
          <w:lang w:val="en-US"/>
        </w:rPr>
        <w:t xml:space="preserve"> </w:t>
      </w:r>
      <w:r w:rsidRPr="00F32B32">
        <w:rPr>
          <w:rFonts w:ascii="Times New Roman" w:eastAsia="Times New Roman" w:hAnsi="Times New Roman" w:cs="Times New Roman"/>
          <w:color w:val="000000"/>
          <w:lang w:val="en-US"/>
        </w:rPr>
        <w:t xml:space="preserve">dan alat perekam saat wawancara. Pengolahan dan analisis data dilakukan dengan melakukan skoring pada jawaban hasil wawancara dan observasi data sekunder yang diperoleh mengacu kepada pedoman wawancara yaitu untuk jawaban Ya mendapatan  nilai skor 1 (satu) sedangkan jawaban tidak mendapatkan nilai skor 0 (nul). Persentase kesesuaian dihitung dengan menggunakan rumus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{"citationItems":[{"id":"ITEM-1","itemData":{"author":[{"dropping-particle":"","family":"Aulia","given":"Nuniek","non-dropping-particle":"","parse-names":false,"suffix":""}],"id":"ITEM-1","issued":{"date-parts":[["2006"]]},"publisher":"Universitas Gadjah Mada","title":"Evaluasi pelaksanaan standar pelayanan farmasi di Rumah Sakir Tipe C di daerah Istimewa Yogyakarta Tahun 2005","type":"article"},"uris":["http://www.mendeley.com/documents/?uuid=d1d89466-2c42-4d57-9d57-137826a66fc6"]}],"mendeley":{"formattedCitation":"(Aulia, 2006)","plainTextFormattedCitation":"(Aulia, 2006)","previouslyFormattedCitation":"(Aulia, 2006)"},"properties":{"noteIndex":0},"schema":"https://github.com/citation-style-language/schema/raw/master/csl-citation.json"}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(Aulia, 2006)</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w:t>
      </w:r>
    </w:p>
    <w:p w14:paraId="2F822631" w14:textId="77777777" w:rsidR="00F32B32" w:rsidRPr="00F32B32" w:rsidRDefault="00F32B32" w:rsidP="00F32B32">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noProof/>
          <w:color w:val="000000"/>
          <w:lang w:val="en-US"/>
        </w:rPr>
        <mc:AlternateContent>
          <mc:Choice Requires="wpg">
            <w:drawing>
              <wp:anchor distT="0" distB="0" distL="114300" distR="114300" simplePos="0" relativeHeight="251659264" behindDoc="0" locked="0" layoutInCell="1" allowOverlap="1" wp14:anchorId="29CF0791" wp14:editId="06622164">
                <wp:simplePos x="0" y="0"/>
                <wp:positionH relativeFrom="column">
                  <wp:posOffset>-1906</wp:posOffset>
                </wp:positionH>
                <wp:positionV relativeFrom="paragraph">
                  <wp:posOffset>38100</wp:posOffset>
                </wp:positionV>
                <wp:extent cx="2486025" cy="981075"/>
                <wp:effectExtent l="0" t="0" r="0" b="0"/>
                <wp:wrapNone/>
                <wp:docPr id="2060351945" name="Group 2060351945"/>
                <wp:cNvGraphicFramePr/>
                <a:graphic xmlns:a="http://schemas.openxmlformats.org/drawingml/2006/main">
                  <a:graphicData uri="http://schemas.microsoft.com/office/word/2010/wordprocessingGroup">
                    <wpg:wgp>
                      <wpg:cNvGrpSpPr/>
                      <wpg:grpSpPr>
                        <a:xfrm>
                          <a:off x="0" y="0"/>
                          <a:ext cx="2486025" cy="981075"/>
                          <a:chOff x="0" y="0"/>
                          <a:chExt cx="2438400" cy="904875"/>
                        </a:xfrm>
                      </wpg:grpSpPr>
                      <wps:wsp>
                        <wps:cNvPr id="813600375" name="Text Box 2"/>
                        <wps:cNvSpPr txBox="1">
                          <a:spLocks noChangeArrowheads="1"/>
                        </wps:cNvSpPr>
                        <wps:spPr bwMode="auto">
                          <a:xfrm>
                            <a:off x="0" y="0"/>
                            <a:ext cx="2438400" cy="904875"/>
                          </a:xfrm>
                          <a:prstGeom prst="rect">
                            <a:avLst/>
                          </a:prstGeom>
                          <a:noFill/>
                          <a:ln w="9525">
                            <a:noFill/>
                            <a:miter lim="800000"/>
                            <a:headEnd/>
                            <a:tailEnd/>
                          </a:ln>
                        </wps:spPr>
                        <wps:txbx>
                          <w:txbxContent>
                            <w:p w14:paraId="5C7266AF" w14:textId="77777777" w:rsidR="00F32B32" w:rsidRDefault="00F32B32" w:rsidP="00F32B32">
                              <w:pPr>
                                <w:spacing w:after="0" w:line="240" w:lineRule="auto"/>
                                <w:rPr>
                                  <w:rFonts w:ascii="Times New Roman" w:hAnsi="Times New Roman"/>
                                  <w:i/>
                                  <w:iCs/>
                                  <w:sz w:val="20"/>
                                  <w:szCs w:val="20"/>
                                </w:rPr>
                              </w:pPr>
                              <w:r>
                                <w:rPr>
                                  <w:rFonts w:ascii="Times New Roman" w:hAnsi="Times New Roman"/>
                                  <w:i/>
                                  <w:iCs/>
                                  <w:sz w:val="24"/>
                                  <w:szCs w:val="24"/>
                                </w:rPr>
                                <w:t xml:space="preserve">                           </w:t>
                              </w:r>
                              <w:r>
                                <w:rPr>
                                  <w:rFonts w:ascii="Times New Roman" w:hAnsi="Times New Roman"/>
                                  <w:i/>
                                  <w:iCs/>
                                  <w:sz w:val="20"/>
                                  <w:szCs w:val="20"/>
                                </w:rPr>
                                <w:t>Skor empirik</w:t>
                              </w:r>
                            </w:p>
                            <w:p w14:paraId="2BDA1ECB" w14:textId="77777777" w:rsidR="00F32B32" w:rsidRDefault="00F32B32" w:rsidP="00F32B32">
                              <w:pPr>
                                <w:spacing w:after="0" w:line="240" w:lineRule="auto"/>
                                <w:rPr>
                                  <w:rFonts w:cstheme="minorBidi"/>
                                  <w:sz w:val="20"/>
                                  <w:szCs w:val="20"/>
                                </w:rPr>
                              </w:pPr>
                              <w:r>
                                <w:rPr>
                                  <w:rFonts w:ascii="Times New Roman" w:hAnsi="Times New Roman"/>
                                  <w:sz w:val="20"/>
                                  <w:szCs w:val="20"/>
                                </w:rPr>
                                <w:t>% Kesesuaian =                                x 100%</w:t>
                              </w:r>
                            </w:p>
                            <w:p w14:paraId="69DC15B4" w14:textId="77777777" w:rsidR="00F32B32" w:rsidRDefault="00F32B32" w:rsidP="00F32B32">
                              <w:pPr>
                                <w:spacing w:after="0" w:line="240" w:lineRule="auto"/>
                                <w:rPr>
                                  <w:sz w:val="20"/>
                                  <w:szCs w:val="20"/>
                                </w:rPr>
                              </w:pPr>
                              <w:r>
                                <w:rPr>
                                  <w:rFonts w:ascii="Times New Roman" w:hAnsi="Times New Roman"/>
                                  <w:sz w:val="20"/>
                                  <w:szCs w:val="20"/>
                                </w:rPr>
                                <w:t xml:space="preserve">                                  Total skor</w:t>
                              </w:r>
                            </w:p>
                          </w:txbxContent>
                        </wps:txbx>
                        <wps:bodyPr rot="0" vert="horz" wrap="square" lIns="91440" tIns="45720" rIns="91440" bIns="45720" anchor="t" anchorCtr="0">
                          <a:noAutofit/>
                        </wps:bodyPr>
                      </wps:wsp>
                      <wps:wsp>
                        <wps:cNvPr id="374204540" name="Rectangle 374204540"/>
                        <wps:cNvSpPr/>
                        <wps:spPr>
                          <a:xfrm>
                            <a:off x="247650" y="600075"/>
                            <a:ext cx="2019300" cy="2381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3990EE" w14:textId="77777777" w:rsidR="00F32B32" w:rsidRDefault="00F32B32" w:rsidP="00F32B32">
                              <w:pPr>
                                <w:jc w:val="center"/>
                                <w:rPr>
                                  <w:rFonts w:ascii="Times New Roman" w:hAnsi="Times New Roman"/>
                                  <w:color w:val="000000" w:themeColor="text1"/>
                                  <w:sz w:val="20"/>
                                  <w:szCs w:val="20"/>
                                </w:rPr>
                              </w:pPr>
                              <w:r>
                                <w:rPr>
                                  <w:rFonts w:ascii="Times New Roman" w:hAnsi="Times New Roman"/>
                                  <w:color w:val="000000" w:themeColor="text1"/>
                                  <w:sz w:val="20"/>
                                  <w:szCs w:val="20"/>
                                </w:rPr>
                                <w:t>Gambar 1. Rumus % Kesesuaian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88907673" name="Straight Connector 1788907673"/>
                        <wps:cNvCnPr/>
                        <wps:spPr>
                          <a:xfrm>
                            <a:off x="971550" y="276225"/>
                            <a:ext cx="8763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2060351945" o:spid="_x0000_s1026" style="position:absolute;left:0;text-align:left;margin-left:-.15pt;margin-top:3pt;width:195.75pt;height:77.25pt;z-index:251659264" coordsize="24384,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">
                <v:shapetype id="_x0000_t202" coordsize="21600,21600" o:spt="202" path="m,l,21600r21600,l21600,xe">
                  <v:stroke joinstyle="miter"/>
                  <v:path gradientshapeok="t" o:connecttype="rect"/>
                </v:shapetype>
                <v:shape id="_x0000_s1027" type="#_x0000_t202" style="position:absolute;width:24384;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Lt4MkA&#10;AADiAAAADwAAAGRycy9kb3ducmV2LnhtbESPW2sCMRSE3wv+h3AE32pirbfVKMVS8KnFK/h22Bx3&#10;FzcnyyZ1139vhEIfh5n5hlmsWluKG9W+cKxh0FcgiFNnCs40HPZfr1MQPiAbLB2Thjt5WC07LwtM&#10;jGt4S7ddyESEsE9QQx5ClUjp05ws+r6riKN3cbXFEGWdSVNjE+G2lG9KjaXFguNCjhWtc0qvu1+r&#10;4fh9OZ/e1U/2aUdV41ol2c6k1r1u+zEHEagN/+G/9sZomA6GY6WGkxE8L8U7IJc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xLt4MkAAADiAAAADwAAAAAAAAAAAAAAAACYAgAA&#10;ZHJzL2Rvd25yZXYueG1sUEsFBgAAAAAEAAQA9QAAAI4DAAAAAA==&#10;" filled="f" stroked="f">
                  <v:textbox>
                    <w:txbxContent>
                      <w:p w14:paraId="5C7266AF" w14:textId="77777777" w:rsidR="00F32B32" w:rsidRDefault="00F32B32" w:rsidP="00F32B32">
                        <w:pPr>
                          <w:spacing w:after="0" w:line="240" w:lineRule="auto"/>
                          <w:rPr>
                            <w:rFonts w:ascii="Times New Roman" w:hAnsi="Times New Roman"/>
                            <w:i/>
                            <w:iCs/>
                            <w:sz w:val="20"/>
                            <w:szCs w:val="20"/>
                          </w:rPr>
                        </w:pPr>
                        <w:r>
                          <w:rPr>
                            <w:rFonts w:ascii="Times New Roman" w:hAnsi="Times New Roman"/>
                            <w:i/>
                            <w:iCs/>
                            <w:sz w:val="24"/>
                            <w:szCs w:val="24"/>
                          </w:rPr>
                          <w:t xml:space="preserve">                           </w:t>
                        </w:r>
                        <w:r>
                          <w:rPr>
                            <w:rFonts w:ascii="Times New Roman" w:hAnsi="Times New Roman"/>
                            <w:i/>
                            <w:iCs/>
                            <w:sz w:val="20"/>
                            <w:szCs w:val="20"/>
                          </w:rPr>
                          <w:t>Skor empirik</w:t>
                        </w:r>
                      </w:p>
                      <w:p w14:paraId="2BDA1ECB" w14:textId="77777777" w:rsidR="00F32B32" w:rsidRDefault="00F32B32" w:rsidP="00F32B32">
                        <w:pPr>
                          <w:spacing w:after="0" w:line="240" w:lineRule="auto"/>
                          <w:rPr>
                            <w:rFonts w:cstheme="minorBidi"/>
                            <w:sz w:val="20"/>
                            <w:szCs w:val="20"/>
                          </w:rPr>
                        </w:pPr>
                        <w:r>
                          <w:rPr>
                            <w:rFonts w:ascii="Times New Roman" w:hAnsi="Times New Roman"/>
                            <w:sz w:val="20"/>
                            <w:szCs w:val="20"/>
                          </w:rPr>
                          <w:t>% Kesesuaian =                                x 100%</w:t>
                        </w:r>
                      </w:p>
                      <w:p w14:paraId="69DC15B4" w14:textId="77777777" w:rsidR="00F32B32" w:rsidRDefault="00F32B32" w:rsidP="00F32B32">
                        <w:pPr>
                          <w:spacing w:after="0" w:line="240" w:lineRule="auto"/>
                          <w:rPr>
                            <w:sz w:val="20"/>
                            <w:szCs w:val="20"/>
                          </w:rPr>
                        </w:pPr>
                        <w:r>
                          <w:rPr>
                            <w:rFonts w:ascii="Times New Roman" w:hAnsi="Times New Roman"/>
                            <w:sz w:val="20"/>
                            <w:szCs w:val="20"/>
                          </w:rPr>
                          <w:t xml:space="preserve">                                  Total skor</w:t>
                        </w:r>
                      </w:p>
                    </w:txbxContent>
                  </v:textbox>
                </v:shape>
                <v:rect id="Rectangle 374204540" o:spid="_x0000_s1028" style="position:absolute;left:2476;top:6000;width:20193;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l6kckA&#10;AADiAAAADwAAAGRycy9kb3ducmV2LnhtbESPzWrCQBSF9wXfYbhCdzrRprWkTkIQW+qyRijdXTPX&#10;JJq5EzLTGN++sxC6PJw/vnU2mlYM1LvGsoLFPAJBXFrdcKXgULzPXkE4j6yxtUwKbuQgSycPa0y0&#10;vfIXDXtfiTDCLkEFtfddIqUrazLo5rYjDt7J9gZ9kH0ldY/XMG5auYyiF2mw4fBQY0ebmsrL/tco&#10;cMdhV9y6/Pv848pjvmVTxLsPpR6nY/4GwtPo/8P39qdW8LSKl1H8HAeIgBRwQK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6l6kckAAADiAAAADwAAAAAAAAAAAAAAAACYAgAA&#10;ZHJzL2Rvd25yZXYueG1sUEsFBgAAAAAEAAQA9QAAAI4DAAAAAA==&#10;" filled="f" stroked="f" strokeweight="2pt">
                  <v:textbox>
                    <w:txbxContent>
                      <w:p w14:paraId="3B3990EE" w14:textId="77777777" w:rsidR="00F32B32" w:rsidRDefault="00F32B32" w:rsidP="00F32B32">
                        <w:pPr>
                          <w:jc w:val="center"/>
                          <w:rPr>
                            <w:rFonts w:ascii="Times New Roman" w:hAnsi="Times New Roman"/>
                            <w:color w:val="000000" w:themeColor="text1"/>
                            <w:sz w:val="20"/>
                            <w:szCs w:val="20"/>
                          </w:rPr>
                        </w:pPr>
                        <w:r>
                          <w:rPr>
                            <w:rFonts w:ascii="Times New Roman" w:hAnsi="Times New Roman"/>
                            <w:color w:val="000000" w:themeColor="text1"/>
                            <w:sz w:val="20"/>
                            <w:szCs w:val="20"/>
                          </w:rPr>
                          <w:t>Gambar 1. Rumus % Kesesuaian</w:t>
                        </w:r>
                      </w:p>
                    </w:txbxContent>
                  </v:textbox>
                </v:rect>
                <v:line id="Straight Connector 1788907673" o:spid="_x0000_s1029" style="position:absolute;visibility:visible;mso-wrap-style:square" from="9715,2762" to="18478,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dRJ12ygAAAOMAAAAPAAAA&#10;AAAAAAAAAAAAAKECAABkcnMvZG93bnJldi54bWxQSwUGAAAAAAQABAD5AAAAmAMAAAAA&#10;" strokecolor="black [3040]"/>
              </v:group>
            </w:pict>
          </mc:Fallback>
        </mc:AlternateContent>
      </w:r>
    </w:p>
    <w:p w14:paraId="2EFFFCCB" w14:textId="77777777" w:rsidR="00F32B32" w:rsidRPr="00F32B32" w:rsidRDefault="00F32B32" w:rsidP="00F32B32">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2D91CD2A" w14:textId="77777777" w:rsidR="00F32B32" w:rsidRPr="00F32B32" w:rsidRDefault="00F32B32" w:rsidP="00F32B32">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4D78A0CB" w14:textId="77777777" w:rsidR="00F32B32" w:rsidRPr="00F32B32" w:rsidRDefault="00F32B32" w:rsidP="00F32B32">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27BD721A" w14:textId="77777777" w:rsidR="00F32B32" w:rsidRPr="00F32B32" w:rsidRDefault="00F32B32" w:rsidP="00F32B3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US"/>
        </w:rPr>
      </w:pPr>
      <w:r w:rsidRPr="00F32B32">
        <w:rPr>
          <w:rFonts w:ascii="Times New Roman" w:eastAsia="Times New Roman" w:hAnsi="Times New Roman" w:cs="Times New Roman"/>
          <w:color w:val="000000"/>
          <w:lang w:val="en-US"/>
        </w:rPr>
        <w:t xml:space="preserve">Presentase kesesuaian yang diperoleh dinilai berdasarkan 5 kategori, yaitu:  Sangat Baik : 81-100%; Baik : 61-80%; Cukup baik : 41-60%; Kurang baik 21-40%; dan Sangat Kurang 1-20% . </w:t>
      </w:r>
      <w:r w:rsidRPr="00F32B32">
        <w:rPr>
          <w:rFonts w:ascii="Times New Roman" w:eastAsia="Times New Roman" w:hAnsi="Times New Roman" w:cs="Times New Roman"/>
          <w:color w:val="000000"/>
          <w:lang w:val="en-US"/>
        </w:rPr>
        <w:fldChar w:fldCharType="begin" w:fldLock="1"/>
      </w:r>
      <w:r w:rsidRPr="00F32B32">
        <w:rPr>
          <w:rFonts w:ascii="Times New Roman" w:eastAsia="Times New Roman" w:hAnsi="Times New Roman" w:cs="Times New Roman"/>
          <w:color w:val="000000"/>
          <w:lang w:val="en-US"/>
        </w:rPr>
        <w:instrText>ADDIN CSL_CITATION {"citationItems":[{"id":"ITEM-1","itemData":{"DOI":"https://doi.org/10.37311/jsscr.v2i1.4514","abstract":"Instalasi Farmasi sebagai tempat pengabdian profesi di rumah sakit dan salah satu unit pelayanan utama rumah sakit mempunyai peran dan fungsi yang sangat penting dalam menunjang pelayanan kesehatan yang bermutu. Salah satu usaha untuk meningkatkan mutu pelayanan instalasi farmasi dapat dilakukan dengan melaksanakan standar pelayanan farmasi rumah sakit. Penelitian ini bertujuan untuk mengetahui gambaran Pelaksanaan Standar Pelayanan Kefarmasian di Rumah Sakit Umum Daerah Kelas C di Propinsi Nusa Tenggara Barat, serta faktor pendukung atau penghambat dalam pelaksanaan. Penelitian ini merupakan penelitian deskriptif. Penelitian dilakukan di 3 Rumah Sakit Umum Daerah Kelas C di Propinsi Nusa Tenggara Barat. Pengumpulan data dilakukan menggunakan pedoman wawancara pelaksanaan standar pelayanan farmasi rumah sakit. Penilaian meliputi tujuh standar yang terbagi dalam dua puluh tiga parameter. Suatu Instalasi Farmasi Rumah Sakit dikatakan telah sesuai dengan standar jika nilai persentase rata-rata pencapaian standar lebih dari 75% sebaliknya jika kurang dari 75% dikatakan tidak sesuai standar. Hasil penelitian menunjukkan bahwa pelaksanaan standar pelayanan kefarmasian di Rumah Sakit Umum Daerah Kelas C di Propinsi Nusa Tenggara Barat belum terlaksana dengan baik, ini dapat dilihat dari hasil yang menunjukkan persentase pencapain standar dari ketiga rumah sakit masih kurang dari 75 %. Persentase pencapain standar dari Rumah Sakit A (52,17%), Rumah Sakit B (54,78%) dan Rumah Sakit C (44,35%).","author":[{"dropping-particle":"","family":"Sidrotullah","given":"M","non-dropping-particle":"","parse-names":false,"suffix":""},{"dropping-particle":"","family":"Pahmi","given":"Khairil","non-dropping-particle":"","parse-names":false,"suffix":""}],"container-title":"Journal Syifa Sciences and Clinical Research","id":"ITEM-1","issue":"1","issued":{"date-parts":[["2020"]]},"page":"21-30","title":"Evaluasi Pelaksanaan Standar Pelayanan Farmasi Di Rumah Sakit Umum Daerah Kelas C di Propinsi Nusa Tenggara Barat","type":"article-journal","volume":"2"},"uris":["http://www.mendeley.com/documents/?uuid=c1503025-12e5-4a75-a4af-75471f55c5bf"]}],"mendeley":{"formattedCitation":"(Sidrotullah &amp; Pahmi, 2020)","plainTextFormattedCitation":"(Sidrotullah &amp; Pahmi, 2020)","previouslyFormattedCitation":"(Sidrotullah &amp; Pahmi, 2020)"},"properties":{"noteIndex":0},"schema":"https://github.com/citation-style-language/schema/raw/master/csl-citation.json"}</w:instrText>
      </w:r>
      <w:r w:rsidRPr="00F32B32">
        <w:rPr>
          <w:rFonts w:ascii="Times New Roman" w:eastAsia="Times New Roman" w:hAnsi="Times New Roman" w:cs="Times New Roman"/>
          <w:color w:val="000000"/>
          <w:lang w:val="en-US"/>
        </w:rPr>
        <w:fldChar w:fldCharType="separate"/>
      </w:r>
      <w:r w:rsidRPr="00F32B32">
        <w:rPr>
          <w:rFonts w:ascii="Times New Roman" w:eastAsia="Times New Roman" w:hAnsi="Times New Roman" w:cs="Times New Roman"/>
          <w:color w:val="000000"/>
          <w:lang w:val="en-US"/>
        </w:rPr>
        <w:t>(Sidrotullah &amp; Pahmi, 2020)</w:t>
      </w:r>
      <w:r w:rsidRPr="00F32B32">
        <w:rPr>
          <w:rFonts w:ascii="Times New Roman" w:eastAsia="Times New Roman" w:hAnsi="Times New Roman" w:cs="Times New Roman"/>
          <w:color w:val="000000"/>
        </w:rPr>
        <w:fldChar w:fldCharType="end"/>
      </w:r>
      <w:r w:rsidRPr="00F32B32">
        <w:rPr>
          <w:rFonts w:ascii="Times New Roman" w:eastAsia="Times New Roman" w:hAnsi="Times New Roman" w:cs="Times New Roman"/>
          <w:color w:val="000000"/>
          <w:lang w:val="en-US"/>
        </w:rPr>
        <w:t>.</w:t>
      </w:r>
    </w:p>
    <w:p w14:paraId="5483AA6E" w14:textId="77777777" w:rsidR="00D01695" w:rsidRDefault="00D0169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A2E2A02" w14:textId="582D65DB" w:rsidR="00D01695" w:rsidRDefault="00BF5A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HASIL </w:t>
      </w:r>
    </w:p>
    <w:p w14:paraId="610F95B8" w14:textId="77777777" w:rsidR="00C51E09" w:rsidRPr="00C51E09" w:rsidRDefault="00C51E09" w:rsidP="00C51E0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sidRPr="00C51E09">
        <w:rPr>
          <w:rFonts w:ascii="Times New Roman" w:eastAsia="Times New Roman" w:hAnsi="Times New Roman" w:cs="Times New Roman"/>
          <w:color w:val="000000"/>
          <w:lang w:val="en-US"/>
        </w:rPr>
        <w:t>Penelitian ini dilakukan di Instalasi Farmasi Rumah Sakit Umum Daerah Praya Kabupaten Lombok Tengah pada bulan Oktober sampai dengan bulan November 2022. Penelitian ini merupakan penelitian bersifat deskriptif analitik dengan pendekatan</w:t>
      </w:r>
      <w:r w:rsidRPr="00C51E09">
        <w:rPr>
          <w:rFonts w:ascii="Times New Roman" w:eastAsia="Times New Roman" w:hAnsi="Times New Roman" w:cs="Times New Roman"/>
          <w:i/>
          <w:color w:val="000000"/>
          <w:lang w:val="en-US"/>
        </w:rPr>
        <w:t xml:space="preserve"> crosectional </w:t>
      </w:r>
      <w:r w:rsidRPr="00C51E09">
        <w:rPr>
          <w:rFonts w:ascii="Times New Roman" w:eastAsia="Times New Roman" w:hAnsi="Times New Roman" w:cs="Times New Roman"/>
          <w:color w:val="000000"/>
          <w:lang w:val="en-US"/>
        </w:rPr>
        <w:t>yang untuk mengevaluasi standar pelayanan kefarmasian di Rumah Sakit Umum</w:t>
      </w:r>
      <w:r>
        <w:rPr>
          <w:rFonts w:ascii="Times New Roman" w:eastAsia="Times New Roman" w:hAnsi="Times New Roman" w:cs="Times New Roman"/>
          <w:color w:val="000000"/>
          <w:lang w:val="en-US"/>
        </w:rPr>
        <w:t xml:space="preserve"> </w:t>
      </w:r>
      <w:r w:rsidRPr="00C51E09">
        <w:rPr>
          <w:rFonts w:ascii="Times New Roman" w:eastAsia="Times New Roman" w:hAnsi="Times New Roman" w:cs="Times New Roman"/>
          <w:color w:val="000000"/>
          <w:lang w:val="en-US"/>
        </w:rPr>
        <w:t xml:space="preserve">Daerah (RSUD) Praya  Kabupaten Lombok Tengah.Populasi dalam penelitian ini adalah seluruh tenaga kefarmasian yang berjumlah 36 orang terdiri dari 12 orang tenaga apoteker dan 24 orang Tenaga Teknis Kefarmasian (TTK). Nara sumber pada penelitian ini berjumlah 4 orang yang terdiri dari 3 orang apoteker dan 1 orang TTK (Tabel 1.). Narasumber dipilih berdasarkan prinsip kecukupan dan kesesuaian yang ditentukan dengan mengacu pada pengetahuan personal terkait kompetensi, jabatan, tanggung jawab serta kewenangnnya yang dimiliki. Hal ini terkait dengan metode pengumpulan data dari hasil wawancara, observasi dan pengumpulan data sekunder melaui form pencatatan, laporan, SOP, dan Formularium RS. Sehingga narasumber haruslah seseorang yang memahami praktek pelayanan kefarmasian di RS  dan mampu memberikan gambaran mengenai pelayan kefarmasian di RSUD Praya, selain itu narasumber juga memiliki wewenang untuk mengakses data-data sekunder terkait pelayanan kefarmasian </w:t>
      </w:r>
      <w:r w:rsidRPr="00C51E09">
        <w:rPr>
          <w:rFonts w:ascii="Times New Roman" w:eastAsia="Times New Roman" w:hAnsi="Times New Roman" w:cs="Times New Roman"/>
          <w:color w:val="000000"/>
          <w:lang w:val="en-US"/>
        </w:rPr>
        <w:fldChar w:fldCharType="begin" w:fldLock="1"/>
      </w:r>
      <w:r w:rsidRPr="00C51E09">
        <w:rPr>
          <w:rFonts w:ascii="Times New Roman" w:eastAsia="Times New Roman" w:hAnsi="Times New Roman" w:cs="Times New Roman"/>
          <w:color w:val="000000"/>
          <w:lang w:val="en-US"/>
        </w:rPr>
        <w:instrText>ADDIN CSL_CITATION {"citationItems":[{"id":"ITEM-1","itemData":{"DOI":"10.51771/mj.v2i1.242","abstract":"Pengelolaan obat merupakan serangkaian kegiatan perencanaan, penganggaran, pengadaan, penyimpanan, pendistribusian, penghapusan, dan pengendalian guna mendukung upaya pencapaian tujuan organisasi. Penelitian ini bertujuan untuk mengetahui sistem pengelolaan obat pada layanan Instalasi farmasi RSUD dr.Zubir Mahmud Kabupaten Aceh Timur. Penelitian ini merupakan penelitian kualitatif dengan jenis data yang digunakan adalah data primer dan data sekunder. Informan dalam penelitian ini terdiri dari kabid penunjang medis, kepala bagian perencanaan, ketua komite farmasi dan terapi,kepala instalasi farmasi, kepala gudang, koodinator farmasi rawat jalan, koordinator farmasi rawat inap, koordinator depo OK, staf pengadaan, staf keuangan dan pasien. Hasil penelitian menunjukkan bahwa perencanaan obat dengan metode komsumsi dan belum menggunakan metode analisis VEN – ABC. Penganggaran persediaan obat menggunakan anggaran Badan Layanan Umum Daerah (BLUD). Pengadaan obat dilakukan dengan cara pembelian langsung tidak secara e-purcising karena menunggaknya tagihan obat, penyimpanan obat menggunakan sistem FIFO (First in first out) dan FEFO (First expired first out). Pendistribusian obat kepasien rawat jalan dengan cara individual prescribing sedangkan pasien rawat inap menggunakan cara one daily dispensing (ODD). Kesimpulan dari penelitian ini adalah manajemen pengelolaan obat diRSUD dr.Zubir Mahmud Kabupaten Aceh timur sudah sesuai standar yang ditetapkan yaitu untuk perencanaan, pengadaan,penyimpanan dan distribusi obat sesuai dengan SOP yang ditetapkan oleh RSUD dr.Zubir Mahmud sedangkan untuk penganggaran mengacu pada Permendagri RI No.79 tahun 2008 akan tetapi ketersediaan obat masih kurang terpenuhi.Disarankan untuk memberikan pelatihan-pelatihan untuk SDM yang ada dan penambahan sarana dan prasarana yang memadai diRSUD dr.Zubir Mahmud.","author":[{"dropping-particle":"","family":"Hariani","given":"Husna","non-dropping-particle":"","parse-names":false,"suffix":""},{"dropping-particle":"","family":"Fitriani","given":"Arifah Devi","non-dropping-particle":"","parse-names":false,"suffix":""},{"dropping-particle":"","family":"Sari","given":"Mayang","non-dropping-particle":"","parse-names":false,"suffix":""}],"container-title":"MIRACLE Journal","id":"ITEM-1","issue":"1","issued":{"date-parts":[["2022"]]},"page":"49-66","title":"MANAJEMEN PENGELOLAAN OBAT DIINSTALASI FARMASI RUMAH SAKIT UMUM DAERAH dr. ZUBIR MAHMUD KABUPATEN ACEH TIMUR TAHUN 2021","type":"article-journal","volume":"2"},"uris":["http://www.mendeley.com/documents/?uuid=43f9f2d5-a73f-4d3b-af49-8fcba4fe3051"]}],"mendeley":{"formattedCitation":"(Hariani et al., 2022)","plainTextFormattedCitation":"(Hariani et al., 2022)","previouslyFormattedCitation":"(Hariani et al., 2022)"},"properties":{"noteIndex":0},"schema":"https://github.com/citation-style-language/schema/raw/master/csl-citation.json"}</w:instrText>
      </w:r>
      <w:r w:rsidRPr="00C51E09">
        <w:rPr>
          <w:rFonts w:ascii="Times New Roman" w:eastAsia="Times New Roman" w:hAnsi="Times New Roman" w:cs="Times New Roman"/>
          <w:color w:val="000000"/>
          <w:lang w:val="en-US"/>
        </w:rPr>
        <w:fldChar w:fldCharType="separate"/>
      </w:r>
      <w:r w:rsidRPr="00C51E09">
        <w:rPr>
          <w:rFonts w:ascii="Times New Roman" w:eastAsia="Times New Roman" w:hAnsi="Times New Roman" w:cs="Times New Roman"/>
          <w:color w:val="000000"/>
          <w:lang w:val="en-US"/>
        </w:rPr>
        <w:t>(Hariani et al., 2022)</w:t>
      </w:r>
      <w:r w:rsidRPr="00C51E09">
        <w:rPr>
          <w:rFonts w:ascii="Times New Roman" w:eastAsia="Times New Roman" w:hAnsi="Times New Roman" w:cs="Times New Roman"/>
          <w:color w:val="000000"/>
          <w:lang w:val="en-US"/>
        </w:rPr>
        <w:fldChar w:fldCharType="end"/>
      </w:r>
      <w:r w:rsidRPr="00C51E09">
        <w:rPr>
          <w:rFonts w:ascii="Times New Roman" w:eastAsia="Times New Roman" w:hAnsi="Times New Roman" w:cs="Times New Roman"/>
          <w:color w:val="000000"/>
          <w:lang w:val="en-US"/>
        </w:rPr>
        <w:t xml:space="preserve">. </w:t>
      </w:r>
    </w:p>
    <w:p w14:paraId="1B611944" w14:textId="2DEF9327" w:rsidR="00D01695" w:rsidRDefault="00D0169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64DCC4A9" w14:textId="77777777" w:rsidR="00C51E09" w:rsidRPr="00C51E09" w:rsidRDefault="00C51E09" w:rsidP="00C51E09">
      <w:pPr>
        <w:pBdr>
          <w:top w:val="nil"/>
          <w:left w:val="nil"/>
          <w:bottom w:val="nil"/>
          <w:right w:val="nil"/>
          <w:between w:val="nil"/>
        </w:pBdr>
        <w:spacing w:after="0" w:line="240" w:lineRule="auto"/>
        <w:jc w:val="center"/>
        <w:rPr>
          <w:rFonts w:ascii="Times New Roman" w:eastAsia="Times New Roman" w:hAnsi="Times New Roman" w:cs="Times New Roman"/>
          <w:b/>
          <w:bCs/>
          <w:color w:val="000000"/>
          <w:lang w:val="en-US"/>
        </w:rPr>
      </w:pPr>
      <w:r w:rsidRPr="00C51E09">
        <w:rPr>
          <w:rFonts w:ascii="Times New Roman" w:eastAsia="Times New Roman" w:hAnsi="Times New Roman" w:cs="Times New Roman"/>
          <w:b/>
          <w:bCs/>
          <w:color w:val="000000"/>
          <w:lang w:val="en-US"/>
        </w:rPr>
        <w:t>Tabel 1. Karakteristik Narasumber di Instalasi Farmasi RSUD Praya Lombok Tengah</w:t>
      </w:r>
    </w:p>
    <w:tbl>
      <w:tblPr>
        <w:tblStyle w:val="TableGrid1"/>
        <w:tblW w:w="9014"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
        <w:gridCol w:w="1288"/>
        <w:gridCol w:w="965"/>
        <w:gridCol w:w="1288"/>
        <w:gridCol w:w="1708"/>
        <w:gridCol w:w="3282"/>
      </w:tblGrid>
      <w:tr w:rsidR="00C51E09" w:rsidRPr="00C51E09" w14:paraId="5B269F0B" w14:textId="77777777" w:rsidTr="00C51E09">
        <w:trPr>
          <w:trHeight w:val="81"/>
        </w:trPr>
        <w:tc>
          <w:tcPr>
            <w:tcW w:w="483" w:type="dxa"/>
            <w:tcBorders>
              <w:top w:val="single" w:sz="4" w:space="0" w:color="auto"/>
              <w:left w:val="nil"/>
              <w:bottom w:val="nil"/>
              <w:right w:val="nil"/>
            </w:tcBorders>
            <w:hideMark/>
          </w:tcPr>
          <w:p w14:paraId="71E9CC0E" w14:textId="77777777" w:rsidR="00C51E09" w:rsidRPr="00C51E09" w:rsidRDefault="00C51E09" w:rsidP="00C51E09">
            <w:pPr>
              <w:ind w:right="-110"/>
              <w:jc w:val="center"/>
              <w:rPr>
                <w:rFonts w:ascii="Times New Roman" w:hAnsi="Times New Roman"/>
                <w:b/>
              </w:rPr>
            </w:pPr>
            <w:r w:rsidRPr="00C51E09">
              <w:rPr>
                <w:rFonts w:ascii="Times New Roman" w:hAnsi="Times New Roman"/>
                <w:b/>
              </w:rPr>
              <w:t>No.</w:t>
            </w:r>
          </w:p>
        </w:tc>
        <w:tc>
          <w:tcPr>
            <w:tcW w:w="1288" w:type="dxa"/>
            <w:tcBorders>
              <w:top w:val="single" w:sz="4" w:space="0" w:color="auto"/>
              <w:left w:val="nil"/>
              <w:bottom w:val="nil"/>
              <w:right w:val="nil"/>
            </w:tcBorders>
            <w:hideMark/>
          </w:tcPr>
          <w:p w14:paraId="31463763" w14:textId="77777777" w:rsidR="00C51E09" w:rsidRPr="00C51E09" w:rsidRDefault="00C51E09" w:rsidP="00C51E09">
            <w:pPr>
              <w:ind w:right="-110"/>
              <w:jc w:val="center"/>
              <w:rPr>
                <w:rFonts w:ascii="Times New Roman" w:hAnsi="Times New Roman"/>
                <w:b/>
              </w:rPr>
            </w:pPr>
            <w:r w:rsidRPr="00C51E09">
              <w:rPr>
                <w:rFonts w:ascii="Times New Roman" w:hAnsi="Times New Roman"/>
                <w:b/>
              </w:rPr>
              <w:t xml:space="preserve">Kode </w:t>
            </w:r>
            <w:r w:rsidRPr="00C51E09">
              <w:rPr>
                <w:rFonts w:ascii="Times New Roman" w:hAnsi="Times New Roman"/>
                <w:b/>
              </w:rPr>
              <w:lastRenderedPageBreak/>
              <w:t>Narasumber</w:t>
            </w:r>
          </w:p>
        </w:tc>
        <w:tc>
          <w:tcPr>
            <w:tcW w:w="965" w:type="dxa"/>
            <w:tcBorders>
              <w:top w:val="single" w:sz="4" w:space="0" w:color="auto"/>
              <w:left w:val="nil"/>
              <w:bottom w:val="nil"/>
              <w:right w:val="nil"/>
            </w:tcBorders>
            <w:hideMark/>
          </w:tcPr>
          <w:p w14:paraId="6DC7A602" w14:textId="77777777" w:rsidR="00C51E09" w:rsidRPr="00C51E09" w:rsidRDefault="00C51E09" w:rsidP="00C51E09">
            <w:pPr>
              <w:ind w:right="-110"/>
              <w:jc w:val="center"/>
              <w:rPr>
                <w:rFonts w:ascii="Times New Roman" w:hAnsi="Times New Roman"/>
                <w:b/>
              </w:rPr>
            </w:pPr>
            <w:r w:rsidRPr="00C51E09">
              <w:rPr>
                <w:rFonts w:ascii="Times New Roman" w:hAnsi="Times New Roman"/>
                <w:b/>
              </w:rPr>
              <w:lastRenderedPageBreak/>
              <w:t xml:space="preserve">Jenis </w:t>
            </w:r>
            <w:r w:rsidRPr="00C51E09">
              <w:rPr>
                <w:rFonts w:ascii="Times New Roman" w:hAnsi="Times New Roman"/>
                <w:b/>
              </w:rPr>
              <w:lastRenderedPageBreak/>
              <w:t>kelamin</w:t>
            </w:r>
          </w:p>
        </w:tc>
        <w:tc>
          <w:tcPr>
            <w:tcW w:w="1288" w:type="dxa"/>
            <w:tcBorders>
              <w:top w:val="single" w:sz="4" w:space="0" w:color="auto"/>
              <w:left w:val="nil"/>
              <w:bottom w:val="nil"/>
              <w:right w:val="nil"/>
            </w:tcBorders>
            <w:hideMark/>
          </w:tcPr>
          <w:p w14:paraId="1F387AC9" w14:textId="77777777" w:rsidR="00C51E09" w:rsidRPr="00C51E09" w:rsidRDefault="00C51E09" w:rsidP="00C51E09">
            <w:pPr>
              <w:ind w:right="-110"/>
              <w:jc w:val="center"/>
              <w:rPr>
                <w:rFonts w:ascii="Times New Roman" w:hAnsi="Times New Roman"/>
                <w:b/>
              </w:rPr>
            </w:pPr>
            <w:r w:rsidRPr="00C51E09">
              <w:rPr>
                <w:rFonts w:ascii="Times New Roman" w:hAnsi="Times New Roman"/>
                <w:b/>
              </w:rPr>
              <w:lastRenderedPageBreak/>
              <w:t xml:space="preserve">Umur </w:t>
            </w:r>
            <w:r w:rsidRPr="00C51E09">
              <w:rPr>
                <w:rFonts w:ascii="Times New Roman" w:hAnsi="Times New Roman"/>
                <w:b/>
              </w:rPr>
              <w:lastRenderedPageBreak/>
              <w:t>(tahun)</w:t>
            </w:r>
          </w:p>
        </w:tc>
        <w:tc>
          <w:tcPr>
            <w:tcW w:w="1708" w:type="dxa"/>
            <w:tcBorders>
              <w:top w:val="single" w:sz="4" w:space="0" w:color="auto"/>
              <w:left w:val="nil"/>
              <w:bottom w:val="nil"/>
              <w:right w:val="nil"/>
            </w:tcBorders>
            <w:hideMark/>
          </w:tcPr>
          <w:p w14:paraId="54CB45C3" w14:textId="77777777" w:rsidR="00C51E09" w:rsidRPr="00C51E09" w:rsidRDefault="00C51E09" w:rsidP="00C51E09">
            <w:pPr>
              <w:ind w:right="-110"/>
              <w:jc w:val="center"/>
              <w:rPr>
                <w:rFonts w:ascii="Times New Roman" w:hAnsi="Times New Roman"/>
                <w:b/>
              </w:rPr>
            </w:pPr>
            <w:r w:rsidRPr="00C51E09">
              <w:rPr>
                <w:rFonts w:ascii="Times New Roman" w:hAnsi="Times New Roman"/>
                <w:b/>
              </w:rPr>
              <w:lastRenderedPageBreak/>
              <w:t xml:space="preserve">Pendidikan </w:t>
            </w:r>
            <w:r w:rsidRPr="00C51E09">
              <w:rPr>
                <w:rFonts w:ascii="Times New Roman" w:hAnsi="Times New Roman"/>
                <w:b/>
              </w:rPr>
              <w:lastRenderedPageBreak/>
              <w:t>terahir</w:t>
            </w:r>
          </w:p>
        </w:tc>
        <w:tc>
          <w:tcPr>
            <w:tcW w:w="3282" w:type="dxa"/>
            <w:tcBorders>
              <w:top w:val="single" w:sz="4" w:space="0" w:color="auto"/>
              <w:left w:val="nil"/>
              <w:bottom w:val="nil"/>
              <w:right w:val="nil"/>
            </w:tcBorders>
            <w:hideMark/>
          </w:tcPr>
          <w:p w14:paraId="15403464" w14:textId="77777777" w:rsidR="00C51E09" w:rsidRPr="00C51E09" w:rsidRDefault="00C51E09" w:rsidP="00C51E09">
            <w:pPr>
              <w:ind w:right="-110"/>
              <w:jc w:val="center"/>
              <w:rPr>
                <w:rFonts w:ascii="Times New Roman" w:hAnsi="Times New Roman"/>
                <w:b/>
              </w:rPr>
            </w:pPr>
            <w:r w:rsidRPr="00C51E09">
              <w:rPr>
                <w:rFonts w:ascii="Times New Roman" w:hAnsi="Times New Roman"/>
                <w:b/>
              </w:rPr>
              <w:lastRenderedPageBreak/>
              <w:t>Jabatan</w:t>
            </w:r>
          </w:p>
        </w:tc>
      </w:tr>
      <w:tr w:rsidR="00C51E09" w:rsidRPr="00C51E09" w14:paraId="22870924" w14:textId="77777777" w:rsidTr="00C51E09">
        <w:trPr>
          <w:trHeight w:val="92"/>
        </w:trPr>
        <w:tc>
          <w:tcPr>
            <w:tcW w:w="483" w:type="dxa"/>
            <w:tcBorders>
              <w:top w:val="nil"/>
              <w:left w:val="nil"/>
              <w:bottom w:val="nil"/>
              <w:right w:val="nil"/>
            </w:tcBorders>
            <w:hideMark/>
          </w:tcPr>
          <w:p w14:paraId="73B0441B" w14:textId="77777777" w:rsidR="00C51E09" w:rsidRPr="00C51E09" w:rsidRDefault="00C51E09" w:rsidP="00C51E09">
            <w:pPr>
              <w:ind w:right="-110"/>
              <w:rPr>
                <w:rFonts w:ascii="Times New Roman" w:hAnsi="Times New Roman"/>
              </w:rPr>
            </w:pPr>
            <w:r w:rsidRPr="00C51E09">
              <w:rPr>
                <w:rFonts w:ascii="Times New Roman" w:hAnsi="Times New Roman"/>
              </w:rPr>
              <w:lastRenderedPageBreak/>
              <w:t>1.</w:t>
            </w:r>
          </w:p>
        </w:tc>
        <w:tc>
          <w:tcPr>
            <w:tcW w:w="1288" w:type="dxa"/>
            <w:tcBorders>
              <w:top w:val="nil"/>
              <w:left w:val="nil"/>
              <w:bottom w:val="nil"/>
              <w:right w:val="nil"/>
            </w:tcBorders>
            <w:hideMark/>
          </w:tcPr>
          <w:p w14:paraId="4C31BB37" w14:textId="77777777" w:rsidR="00C51E09" w:rsidRPr="00C51E09" w:rsidRDefault="00C51E09" w:rsidP="00C51E09">
            <w:pPr>
              <w:ind w:right="-110"/>
              <w:jc w:val="center"/>
              <w:rPr>
                <w:rFonts w:ascii="Times New Roman" w:hAnsi="Times New Roman"/>
              </w:rPr>
            </w:pPr>
            <w:r w:rsidRPr="00C51E09">
              <w:rPr>
                <w:rFonts w:ascii="Times New Roman" w:hAnsi="Times New Roman"/>
              </w:rPr>
              <w:t>TEA</w:t>
            </w:r>
          </w:p>
        </w:tc>
        <w:tc>
          <w:tcPr>
            <w:tcW w:w="965" w:type="dxa"/>
            <w:tcBorders>
              <w:top w:val="nil"/>
              <w:left w:val="nil"/>
              <w:bottom w:val="nil"/>
              <w:right w:val="nil"/>
            </w:tcBorders>
            <w:hideMark/>
          </w:tcPr>
          <w:p w14:paraId="2AE80D1D" w14:textId="77777777" w:rsidR="00C51E09" w:rsidRPr="00C51E09" w:rsidRDefault="00C51E09" w:rsidP="00C51E09">
            <w:pPr>
              <w:ind w:right="-110"/>
              <w:jc w:val="center"/>
              <w:rPr>
                <w:rFonts w:ascii="Times New Roman" w:hAnsi="Times New Roman"/>
              </w:rPr>
            </w:pPr>
            <w:r w:rsidRPr="00C51E09">
              <w:rPr>
                <w:rFonts w:ascii="Times New Roman" w:hAnsi="Times New Roman"/>
              </w:rPr>
              <w:t>♀</w:t>
            </w:r>
          </w:p>
        </w:tc>
        <w:tc>
          <w:tcPr>
            <w:tcW w:w="1288" w:type="dxa"/>
            <w:tcBorders>
              <w:top w:val="nil"/>
              <w:left w:val="nil"/>
              <w:bottom w:val="nil"/>
              <w:right w:val="nil"/>
            </w:tcBorders>
            <w:hideMark/>
          </w:tcPr>
          <w:p w14:paraId="234BED19" w14:textId="77777777" w:rsidR="00C51E09" w:rsidRPr="00C51E09" w:rsidRDefault="00C51E09" w:rsidP="00C51E09">
            <w:pPr>
              <w:ind w:right="-110" w:firstLine="258"/>
              <w:jc w:val="both"/>
              <w:rPr>
                <w:rFonts w:ascii="Times New Roman" w:hAnsi="Times New Roman"/>
              </w:rPr>
            </w:pPr>
            <w:r w:rsidRPr="00C51E09">
              <w:rPr>
                <w:rFonts w:ascii="Times New Roman" w:hAnsi="Times New Roman"/>
              </w:rPr>
              <w:t>35 tahun</w:t>
            </w:r>
          </w:p>
        </w:tc>
        <w:tc>
          <w:tcPr>
            <w:tcW w:w="1708" w:type="dxa"/>
            <w:tcBorders>
              <w:top w:val="nil"/>
              <w:left w:val="nil"/>
              <w:bottom w:val="nil"/>
              <w:right w:val="nil"/>
            </w:tcBorders>
            <w:hideMark/>
          </w:tcPr>
          <w:p w14:paraId="32D3B093" w14:textId="77777777" w:rsidR="00C51E09" w:rsidRPr="00C51E09" w:rsidRDefault="00C51E09" w:rsidP="00C51E09">
            <w:pPr>
              <w:ind w:right="-110"/>
              <w:jc w:val="both"/>
              <w:rPr>
                <w:rFonts w:ascii="Times New Roman" w:hAnsi="Times New Roman"/>
              </w:rPr>
            </w:pPr>
            <w:r w:rsidRPr="00C51E09">
              <w:rPr>
                <w:rFonts w:ascii="Times New Roman" w:hAnsi="Times New Roman"/>
              </w:rPr>
              <w:t>S1/Apoteker</w:t>
            </w:r>
          </w:p>
        </w:tc>
        <w:tc>
          <w:tcPr>
            <w:tcW w:w="3282" w:type="dxa"/>
            <w:tcBorders>
              <w:top w:val="nil"/>
              <w:left w:val="nil"/>
              <w:bottom w:val="nil"/>
              <w:right w:val="nil"/>
            </w:tcBorders>
            <w:hideMark/>
          </w:tcPr>
          <w:p w14:paraId="7E29BEBB" w14:textId="77777777" w:rsidR="00C51E09" w:rsidRPr="00C51E09" w:rsidRDefault="00C51E09" w:rsidP="00C51E09">
            <w:pPr>
              <w:ind w:left="116" w:right="-110" w:firstLine="27"/>
              <w:jc w:val="both"/>
              <w:rPr>
                <w:rFonts w:ascii="Times New Roman" w:hAnsi="Times New Roman"/>
              </w:rPr>
            </w:pPr>
            <w:r w:rsidRPr="00C51E09">
              <w:rPr>
                <w:rFonts w:ascii="Times New Roman" w:hAnsi="Times New Roman"/>
              </w:rPr>
              <w:t>Kepala instalasi farmasi</w:t>
            </w:r>
          </w:p>
        </w:tc>
      </w:tr>
      <w:tr w:rsidR="00C51E09" w:rsidRPr="00C51E09" w14:paraId="48E79461" w14:textId="77777777" w:rsidTr="00C51E09">
        <w:trPr>
          <w:trHeight w:val="438"/>
        </w:trPr>
        <w:tc>
          <w:tcPr>
            <w:tcW w:w="483" w:type="dxa"/>
            <w:tcBorders>
              <w:top w:val="nil"/>
              <w:left w:val="nil"/>
              <w:bottom w:val="nil"/>
              <w:right w:val="nil"/>
            </w:tcBorders>
            <w:hideMark/>
          </w:tcPr>
          <w:p w14:paraId="317671A3" w14:textId="77777777" w:rsidR="00C51E09" w:rsidRPr="00C51E09" w:rsidRDefault="00C51E09" w:rsidP="00C51E09">
            <w:pPr>
              <w:ind w:right="-110"/>
              <w:rPr>
                <w:rFonts w:ascii="Times New Roman" w:hAnsi="Times New Roman"/>
              </w:rPr>
            </w:pPr>
            <w:r w:rsidRPr="00C51E09">
              <w:rPr>
                <w:rFonts w:ascii="Times New Roman" w:hAnsi="Times New Roman"/>
              </w:rPr>
              <w:t>2.</w:t>
            </w:r>
          </w:p>
        </w:tc>
        <w:tc>
          <w:tcPr>
            <w:tcW w:w="1288" w:type="dxa"/>
            <w:tcBorders>
              <w:top w:val="nil"/>
              <w:left w:val="nil"/>
              <w:bottom w:val="nil"/>
              <w:right w:val="nil"/>
            </w:tcBorders>
            <w:hideMark/>
          </w:tcPr>
          <w:p w14:paraId="27F23F9A" w14:textId="77777777" w:rsidR="00C51E09" w:rsidRPr="00C51E09" w:rsidRDefault="00C51E09" w:rsidP="00C51E09">
            <w:pPr>
              <w:ind w:right="-110"/>
              <w:jc w:val="center"/>
              <w:rPr>
                <w:rFonts w:ascii="Times New Roman" w:hAnsi="Times New Roman"/>
              </w:rPr>
            </w:pPr>
            <w:r w:rsidRPr="00C51E09">
              <w:rPr>
                <w:rFonts w:ascii="Times New Roman" w:hAnsi="Times New Roman"/>
              </w:rPr>
              <w:t>AAP</w:t>
            </w:r>
          </w:p>
        </w:tc>
        <w:tc>
          <w:tcPr>
            <w:tcW w:w="965" w:type="dxa"/>
            <w:tcBorders>
              <w:top w:val="nil"/>
              <w:left w:val="nil"/>
              <w:bottom w:val="nil"/>
              <w:right w:val="nil"/>
            </w:tcBorders>
            <w:hideMark/>
          </w:tcPr>
          <w:p w14:paraId="137EB211" w14:textId="77777777" w:rsidR="00C51E09" w:rsidRPr="00C51E09" w:rsidRDefault="00C51E09" w:rsidP="00C51E09">
            <w:pPr>
              <w:ind w:right="-110"/>
              <w:jc w:val="center"/>
              <w:rPr>
                <w:rFonts w:ascii="Times New Roman" w:hAnsi="Times New Roman"/>
              </w:rPr>
            </w:pPr>
            <w:r w:rsidRPr="00C51E09">
              <w:rPr>
                <w:rFonts w:ascii="Times New Roman" w:hAnsi="Times New Roman"/>
              </w:rPr>
              <w:t>♀</w:t>
            </w:r>
          </w:p>
        </w:tc>
        <w:tc>
          <w:tcPr>
            <w:tcW w:w="1288" w:type="dxa"/>
            <w:tcBorders>
              <w:top w:val="nil"/>
              <w:left w:val="nil"/>
              <w:bottom w:val="nil"/>
              <w:right w:val="nil"/>
            </w:tcBorders>
            <w:hideMark/>
          </w:tcPr>
          <w:p w14:paraId="7E81F5B6" w14:textId="77777777" w:rsidR="00C51E09" w:rsidRPr="00C51E09" w:rsidRDefault="00C51E09" w:rsidP="00C51E09">
            <w:pPr>
              <w:ind w:right="-110" w:firstLine="258"/>
              <w:jc w:val="both"/>
              <w:rPr>
                <w:rFonts w:ascii="Times New Roman" w:hAnsi="Times New Roman"/>
              </w:rPr>
            </w:pPr>
            <w:r w:rsidRPr="00C51E09">
              <w:rPr>
                <w:rFonts w:ascii="Times New Roman" w:hAnsi="Times New Roman"/>
              </w:rPr>
              <w:t>34 tahun</w:t>
            </w:r>
          </w:p>
        </w:tc>
        <w:tc>
          <w:tcPr>
            <w:tcW w:w="1708" w:type="dxa"/>
            <w:tcBorders>
              <w:top w:val="nil"/>
              <w:left w:val="nil"/>
              <w:bottom w:val="nil"/>
              <w:right w:val="nil"/>
            </w:tcBorders>
            <w:hideMark/>
          </w:tcPr>
          <w:p w14:paraId="5ABC4884" w14:textId="77777777" w:rsidR="00C51E09" w:rsidRPr="00C51E09" w:rsidRDefault="00C51E09" w:rsidP="00C51E09">
            <w:pPr>
              <w:ind w:right="-110"/>
              <w:jc w:val="both"/>
              <w:rPr>
                <w:rFonts w:ascii="Times New Roman" w:hAnsi="Times New Roman"/>
              </w:rPr>
            </w:pPr>
            <w:r w:rsidRPr="00C51E09">
              <w:rPr>
                <w:rFonts w:ascii="Times New Roman" w:hAnsi="Times New Roman"/>
              </w:rPr>
              <w:t>DIII Farmasi</w:t>
            </w:r>
          </w:p>
        </w:tc>
        <w:tc>
          <w:tcPr>
            <w:tcW w:w="3282" w:type="dxa"/>
            <w:tcBorders>
              <w:top w:val="nil"/>
              <w:left w:val="nil"/>
              <w:bottom w:val="nil"/>
              <w:right w:val="nil"/>
            </w:tcBorders>
            <w:hideMark/>
          </w:tcPr>
          <w:p w14:paraId="0436E478" w14:textId="77777777" w:rsidR="00C51E09" w:rsidRPr="00C51E09" w:rsidRDefault="00C51E09" w:rsidP="00C51E09">
            <w:pPr>
              <w:ind w:left="116" w:right="-110" w:firstLine="27"/>
              <w:jc w:val="both"/>
              <w:rPr>
                <w:rFonts w:ascii="Times New Roman" w:hAnsi="Times New Roman"/>
              </w:rPr>
            </w:pPr>
            <w:r w:rsidRPr="00C51E09">
              <w:rPr>
                <w:rFonts w:ascii="Times New Roman" w:hAnsi="Times New Roman"/>
              </w:rPr>
              <w:t>Penanggung jawab ALKES dan BMHP</w:t>
            </w:r>
          </w:p>
        </w:tc>
      </w:tr>
      <w:tr w:rsidR="00C51E09" w:rsidRPr="00C51E09" w14:paraId="491258E6" w14:textId="77777777" w:rsidTr="00C51E09">
        <w:trPr>
          <w:trHeight w:val="504"/>
        </w:trPr>
        <w:tc>
          <w:tcPr>
            <w:tcW w:w="483" w:type="dxa"/>
            <w:tcBorders>
              <w:top w:val="nil"/>
              <w:left w:val="nil"/>
              <w:bottom w:val="nil"/>
              <w:right w:val="nil"/>
            </w:tcBorders>
            <w:hideMark/>
          </w:tcPr>
          <w:p w14:paraId="77341D55" w14:textId="77777777" w:rsidR="00C51E09" w:rsidRPr="00C51E09" w:rsidRDefault="00C51E09" w:rsidP="00C51E09">
            <w:pPr>
              <w:ind w:right="-110"/>
              <w:rPr>
                <w:rFonts w:ascii="Times New Roman" w:hAnsi="Times New Roman"/>
              </w:rPr>
            </w:pPr>
            <w:r w:rsidRPr="00C51E09">
              <w:rPr>
                <w:rFonts w:ascii="Times New Roman" w:hAnsi="Times New Roman"/>
              </w:rPr>
              <w:t>3.</w:t>
            </w:r>
          </w:p>
        </w:tc>
        <w:tc>
          <w:tcPr>
            <w:tcW w:w="1288" w:type="dxa"/>
            <w:tcBorders>
              <w:top w:val="nil"/>
              <w:left w:val="nil"/>
              <w:bottom w:val="nil"/>
              <w:right w:val="nil"/>
            </w:tcBorders>
            <w:hideMark/>
          </w:tcPr>
          <w:p w14:paraId="25564CC0" w14:textId="77777777" w:rsidR="00C51E09" w:rsidRPr="00C51E09" w:rsidRDefault="00C51E09" w:rsidP="00C51E09">
            <w:pPr>
              <w:ind w:right="-110"/>
              <w:jc w:val="center"/>
              <w:rPr>
                <w:rFonts w:ascii="Times New Roman" w:hAnsi="Times New Roman"/>
              </w:rPr>
            </w:pPr>
            <w:r w:rsidRPr="00C51E09">
              <w:rPr>
                <w:rFonts w:ascii="Times New Roman" w:hAnsi="Times New Roman"/>
              </w:rPr>
              <w:t>GDP</w:t>
            </w:r>
          </w:p>
        </w:tc>
        <w:tc>
          <w:tcPr>
            <w:tcW w:w="965" w:type="dxa"/>
            <w:tcBorders>
              <w:top w:val="nil"/>
              <w:left w:val="nil"/>
              <w:bottom w:val="nil"/>
              <w:right w:val="nil"/>
            </w:tcBorders>
            <w:hideMark/>
          </w:tcPr>
          <w:p w14:paraId="7ACB39CA" w14:textId="77777777" w:rsidR="00C51E09" w:rsidRPr="00C51E09" w:rsidRDefault="00C51E09" w:rsidP="00C51E09">
            <w:pPr>
              <w:ind w:right="-110"/>
              <w:jc w:val="center"/>
              <w:rPr>
                <w:rFonts w:ascii="Times New Roman" w:hAnsi="Times New Roman"/>
              </w:rPr>
            </w:pPr>
            <w:r w:rsidRPr="00C51E09">
              <w:rPr>
                <w:rFonts w:ascii="Times New Roman" w:hAnsi="Times New Roman"/>
              </w:rPr>
              <w:t>♀</w:t>
            </w:r>
          </w:p>
        </w:tc>
        <w:tc>
          <w:tcPr>
            <w:tcW w:w="1288" w:type="dxa"/>
            <w:tcBorders>
              <w:top w:val="nil"/>
              <w:left w:val="nil"/>
              <w:bottom w:val="nil"/>
              <w:right w:val="nil"/>
            </w:tcBorders>
            <w:hideMark/>
          </w:tcPr>
          <w:p w14:paraId="6174E4A1" w14:textId="77777777" w:rsidR="00C51E09" w:rsidRPr="00C51E09" w:rsidRDefault="00C51E09" w:rsidP="00C51E09">
            <w:pPr>
              <w:ind w:right="-110" w:firstLine="258"/>
              <w:jc w:val="both"/>
              <w:rPr>
                <w:rFonts w:ascii="Times New Roman" w:hAnsi="Times New Roman"/>
              </w:rPr>
            </w:pPr>
            <w:r w:rsidRPr="00C51E09">
              <w:rPr>
                <w:rFonts w:ascii="Times New Roman" w:hAnsi="Times New Roman"/>
              </w:rPr>
              <w:t>27 tahun</w:t>
            </w:r>
          </w:p>
        </w:tc>
        <w:tc>
          <w:tcPr>
            <w:tcW w:w="1708" w:type="dxa"/>
            <w:tcBorders>
              <w:top w:val="nil"/>
              <w:left w:val="nil"/>
              <w:bottom w:val="nil"/>
              <w:right w:val="nil"/>
            </w:tcBorders>
            <w:hideMark/>
          </w:tcPr>
          <w:p w14:paraId="5C73E434" w14:textId="77777777" w:rsidR="00C51E09" w:rsidRPr="00C51E09" w:rsidRDefault="00C51E09" w:rsidP="00C51E09">
            <w:pPr>
              <w:ind w:right="-110"/>
              <w:jc w:val="both"/>
              <w:rPr>
                <w:rFonts w:ascii="Times New Roman" w:hAnsi="Times New Roman"/>
              </w:rPr>
            </w:pPr>
            <w:r w:rsidRPr="00C51E09">
              <w:rPr>
                <w:rFonts w:ascii="Times New Roman" w:hAnsi="Times New Roman"/>
              </w:rPr>
              <w:t>S1/Apoteker</w:t>
            </w:r>
          </w:p>
        </w:tc>
        <w:tc>
          <w:tcPr>
            <w:tcW w:w="3282" w:type="dxa"/>
            <w:tcBorders>
              <w:top w:val="nil"/>
              <w:left w:val="nil"/>
              <w:bottom w:val="nil"/>
              <w:right w:val="nil"/>
            </w:tcBorders>
            <w:hideMark/>
          </w:tcPr>
          <w:p w14:paraId="6506986C" w14:textId="77777777" w:rsidR="00C51E09" w:rsidRPr="00C51E09" w:rsidRDefault="00C51E09" w:rsidP="00C51E09">
            <w:pPr>
              <w:ind w:left="116" w:right="-110" w:firstLine="27"/>
              <w:jc w:val="both"/>
              <w:rPr>
                <w:rFonts w:ascii="Times New Roman" w:hAnsi="Times New Roman"/>
              </w:rPr>
            </w:pPr>
            <w:r w:rsidRPr="00C51E09">
              <w:rPr>
                <w:rFonts w:ascii="Times New Roman" w:hAnsi="Times New Roman"/>
              </w:rPr>
              <w:t>Penanggung jawab apotek rawat jalann</w:t>
            </w:r>
          </w:p>
        </w:tc>
      </w:tr>
      <w:tr w:rsidR="00C51E09" w:rsidRPr="00C51E09" w14:paraId="4C7D2E83" w14:textId="77777777" w:rsidTr="00C51E09">
        <w:trPr>
          <w:trHeight w:val="416"/>
        </w:trPr>
        <w:tc>
          <w:tcPr>
            <w:tcW w:w="483" w:type="dxa"/>
            <w:tcBorders>
              <w:top w:val="nil"/>
              <w:left w:val="nil"/>
              <w:bottom w:val="single" w:sz="4" w:space="0" w:color="auto"/>
              <w:right w:val="nil"/>
            </w:tcBorders>
            <w:hideMark/>
          </w:tcPr>
          <w:p w14:paraId="5FE95E72" w14:textId="77777777" w:rsidR="00C51E09" w:rsidRPr="00C51E09" w:rsidRDefault="00C51E09" w:rsidP="00C51E09">
            <w:pPr>
              <w:ind w:right="-110"/>
              <w:rPr>
                <w:rFonts w:ascii="Times New Roman" w:hAnsi="Times New Roman"/>
              </w:rPr>
            </w:pPr>
            <w:r w:rsidRPr="00C51E09">
              <w:rPr>
                <w:rFonts w:ascii="Times New Roman" w:hAnsi="Times New Roman"/>
              </w:rPr>
              <w:t>4.</w:t>
            </w:r>
          </w:p>
        </w:tc>
        <w:tc>
          <w:tcPr>
            <w:tcW w:w="1288" w:type="dxa"/>
            <w:tcBorders>
              <w:top w:val="nil"/>
              <w:left w:val="nil"/>
              <w:bottom w:val="single" w:sz="4" w:space="0" w:color="auto"/>
              <w:right w:val="nil"/>
            </w:tcBorders>
            <w:hideMark/>
          </w:tcPr>
          <w:p w14:paraId="16D93507" w14:textId="77777777" w:rsidR="00C51E09" w:rsidRPr="00C51E09" w:rsidRDefault="00C51E09" w:rsidP="00C51E09">
            <w:pPr>
              <w:ind w:right="-110"/>
              <w:jc w:val="center"/>
              <w:rPr>
                <w:rFonts w:ascii="Times New Roman" w:hAnsi="Times New Roman"/>
              </w:rPr>
            </w:pPr>
            <w:r w:rsidRPr="00C51E09">
              <w:rPr>
                <w:rFonts w:ascii="Times New Roman" w:hAnsi="Times New Roman"/>
              </w:rPr>
              <w:t>LIS</w:t>
            </w:r>
          </w:p>
        </w:tc>
        <w:tc>
          <w:tcPr>
            <w:tcW w:w="965" w:type="dxa"/>
            <w:tcBorders>
              <w:top w:val="nil"/>
              <w:left w:val="nil"/>
              <w:bottom w:val="single" w:sz="4" w:space="0" w:color="auto"/>
              <w:right w:val="nil"/>
            </w:tcBorders>
            <w:hideMark/>
          </w:tcPr>
          <w:p w14:paraId="25D3F974" w14:textId="77777777" w:rsidR="00C51E09" w:rsidRPr="00C51E09" w:rsidRDefault="00C51E09" w:rsidP="00C51E09">
            <w:pPr>
              <w:ind w:right="-110"/>
              <w:jc w:val="center"/>
              <w:rPr>
                <w:rFonts w:ascii="Times New Roman" w:hAnsi="Times New Roman"/>
              </w:rPr>
            </w:pPr>
            <w:r w:rsidRPr="00C51E09">
              <w:rPr>
                <w:rFonts w:ascii="Times New Roman" w:hAnsi="Times New Roman"/>
              </w:rPr>
              <w:t>♂</w:t>
            </w:r>
          </w:p>
        </w:tc>
        <w:tc>
          <w:tcPr>
            <w:tcW w:w="1288" w:type="dxa"/>
            <w:tcBorders>
              <w:top w:val="nil"/>
              <w:left w:val="nil"/>
              <w:bottom w:val="single" w:sz="4" w:space="0" w:color="auto"/>
              <w:right w:val="nil"/>
            </w:tcBorders>
            <w:hideMark/>
          </w:tcPr>
          <w:p w14:paraId="50159B8D" w14:textId="77777777" w:rsidR="00C51E09" w:rsidRPr="00C51E09" w:rsidRDefault="00C51E09" w:rsidP="00C51E09">
            <w:pPr>
              <w:ind w:right="-110" w:firstLine="258"/>
              <w:jc w:val="both"/>
              <w:rPr>
                <w:rFonts w:ascii="Times New Roman" w:hAnsi="Times New Roman"/>
              </w:rPr>
            </w:pPr>
            <w:r w:rsidRPr="00C51E09">
              <w:rPr>
                <w:rFonts w:ascii="Times New Roman" w:hAnsi="Times New Roman"/>
              </w:rPr>
              <w:t>35 tahun</w:t>
            </w:r>
          </w:p>
        </w:tc>
        <w:tc>
          <w:tcPr>
            <w:tcW w:w="1708" w:type="dxa"/>
            <w:tcBorders>
              <w:top w:val="nil"/>
              <w:left w:val="nil"/>
              <w:bottom w:val="single" w:sz="4" w:space="0" w:color="auto"/>
              <w:right w:val="nil"/>
            </w:tcBorders>
            <w:hideMark/>
          </w:tcPr>
          <w:p w14:paraId="67FD43D7" w14:textId="77777777" w:rsidR="00C51E09" w:rsidRPr="00C51E09" w:rsidRDefault="00C51E09" w:rsidP="00C51E09">
            <w:pPr>
              <w:ind w:right="-110"/>
              <w:jc w:val="both"/>
              <w:rPr>
                <w:rFonts w:ascii="Times New Roman" w:hAnsi="Times New Roman"/>
              </w:rPr>
            </w:pPr>
            <w:r w:rsidRPr="00C51E09">
              <w:rPr>
                <w:rFonts w:ascii="Times New Roman" w:hAnsi="Times New Roman"/>
              </w:rPr>
              <w:t>S1/Apoteker</w:t>
            </w:r>
          </w:p>
        </w:tc>
        <w:tc>
          <w:tcPr>
            <w:tcW w:w="3282" w:type="dxa"/>
            <w:tcBorders>
              <w:top w:val="nil"/>
              <w:left w:val="nil"/>
              <w:bottom w:val="single" w:sz="4" w:space="0" w:color="auto"/>
              <w:right w:val="nil"/>
            </w:tcBorders>
            <w:hideMark/>
          </w:tcPr>
          <w:p w14:paraId="7A208437" w14:textId="77777777" w:rsidR="00C51E09" w:rsidRPr="00C51E09" w:rsidRDefault="00C51E09" w:rsidP="00C51E09">
            <w:pPr>
              <w:ind w:left="116" w:right="-110" w:firstLine="27"/>
              <w:jc w:val="both"/>
              <w:rPr>
                <w:rFonts w:ascii="Times New Roman" w:hAnsi="Times New Roman"/>
              </w:rPr>
            </w:pPr>
            <w:r w:rsidRPr="00C51E09">
              <w:rPr>
                <w:rFonts w:ascii="Times New Roman" w:hAnsi="Times New Roman"/>
              </w:rPr>
              <w:t>Penanggung jawab apotek rawat inap</w:t>
            </w:r>
          </w:p>
        </w:tc>
      </w:tr>
    </w:tbl>
    <w:p w14:paraId="1BCCF4A3" w14:textId="77777777" w:rsidR="00D01695" w:rsidRDefault="00D0169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EA61122" w14:textId="77777777" w:rsidR="00C51E09" w:rsidRPr="00C51E09" w:rsidRDefault="00C51E09" w:rsidP="00D406F9">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US"/>
        </w:rPr>
      </w:pPr>
      <w:r w:rsidRPr="00C51E09">
        <w:rPr>
          <w:rFonts w:ascii="Times New Roman" w:eastAsia="Times New Roman" w:hAnsi="Times New Roman" w:cs="Times New Roman"/>
          <w:color w:val="000000"/>
          <w:sz w:val="24"/>
          <w:szCs w:val="24"/>
          <w:lang w:val="en-US"/>
        </w:rPr>
        <w:t xml:space="preserve">Data hasil yang diperoleh pada penelitian ini terdiri dari 2, yaitu: data primer dan sekunder, dimana kedua data tersebut  disajikan dalam bentuk kualitatif dengan melakukan skoring dari presentase kesesuaian kemuadian dianalisa berdasarkan kategori. Hasil evaluasi pelayanan kefarmasian terdiri dari 3 aspek penting yaitu 1. Aspek manajemen farmasi meliputi pengelolaan sediaan farmasi, alat kesehatan dan bahan medis habis pakai; 2. Aspek farmasi klinis meliputi pengkajian dan pelayanan resep, penelusuran penggunaan obat, rekonsiliasi obat, pelayanan informasi obat, konseling, </w:t>
      </w:r>
      <w:r w:rsidRPr="00C51E09">
        <w:rPr>
          <w:rFonts w:ascii="Times New Roman" w:eastAsia="Times New Roman" w:hAnsi="Times New Roman" w:cs="Times New Roman"/>
          <w:i/>
          <w:iCs/>
          <w:color w:val="000000"/>
          <w:sz w:val="24"/>
          <w:szCs w:val="24"/>
          <w:lang w:val="en-US"/>
        </w:rPr>
        <w:t>visute</w:t>
      </w:r>
      <w:r w:rsidRPr="00C51E09">
        <w:rPr>
          <w:rFonts w:ascii="Times New Roman" w:eastAsia="Times New Roman" w:hAnsi="Times New Roman" w:cs="Times New Roman"/>
          <w:color w:val="000000"/>
          <w:sz w:val="24"/>
          <w:szCs w:val="24"/>
          <w:lang w:val="en-US"/>
        </w:rPr>
        <w:t xml:space="preserve">, pemantauan terapi obat, monitoring efek samping obat, evaluasi penggunaan obat, dispensing sediaan  setril, pemantauan kadar obat dalam darah; dan 3. Aspek Sumber Daya Manusia (SDM) kefarmasian </w:t>
      </w:r>
      <w:r w:rsidRPr="00C51E09">
        <w:rPr>
          <w:rFonts w:ascii="Times New Roman" w:eastAsia="Times New Roman" w:hAnsi="Times New Roman" w:cs="Times New Roman"/>
          <w:color w:val="000000"/>
          <w:sz w:val="24"/>
          <w:szCs w:val="24"/>
          <w:lang w:val="en-US"/>
        </w:rPr>
        <w:fldChar w:fldCharType="begin" w:fldLock="1"/>
      </w:r>
      <w:r w:rsidRPr="00C51E09">
        <w:rPr>
          <w:rFonts w:ascii="Times New Roman" w:eastAsia="Times New Roman" w:hAnsi="Times New Roman" w:cs="Times New Roman"/>
          <w:color w:val="000000"/>
          <w:sz w:val="24"/>
          <w:szCs w:val="24"/>
          <w:lang w:val="en-US"/>
        </w:rPr>
        <w:instrText>ADDIN CSL_CITATION {"citationItems":[{"id":"ITEM-1","itemData":{"DOI":"https://doi.org/10.52643/marsi.v3i2.535","abstract":"In supporting the implementation of pharmacy and drug use service quality at Kartika Husada Jati Asih Hospital, the presence of Pharmacists is an important role in carrying out the function of Pharmacy Installation. As a reference, Permenkes No.72 of 2016 concerning Hospital Pharmacy Service Standards that the role of Pharmacists includes 2 main roles, namely as managerial roles and the role of clinical pharmacy services. Based on the problems found in the field that prescription studies have not been fully carried out by Pharmacists and medication error rates are still&gt; 2%, this study was conducted with the aim of knowing pharmaceutical and drug use service systems and the role of Pharmacists in improving the quality of pharmacy and drug use services at Kartika Hospital Husada Jati Asih. This research is qualitative analytic. Data is taken through interviews with informants related to the process of pharmacy services, observation and document review. The study was conducted at the Kartika Husada Jati Jati Hospital Pharmacy Installation. The variables examined by the role of Pharmacists in carrying out the planning, procurement, control, service and prescription assessment processes. The number of informants in this study were 5 people. The results showed that the role of pharmacists in the management of pharmaceutical service systems did not meet the good standards set by hospitals and legislation, so the need for regular training for all pharmacists on pharmaceutical logistics management, clinical pharmacy, activating the role of the Pharmacy and Therapy Committee .","author":[{"dropping-particle":"","family":"Melinda","given":"","non-dropping-particle":"","parse-names":false,"suffix":""},{"dropping-particle":"","family":"Dewi","given":"Sandra","non-dropping-particle":"","parse-names":false,"suffix":""},{"dropping-particle":"","family":"Hutapea","given":"R Fresley","non-dropping-particle":"","parse-names":false,"suffix":""}],"container-title":"Jurnal Manajemen dan Administrasi Rumah Sakit Indonesia (MARSI)","id":"ITEM-1","issue":"2","issued":{"date-parts":[["2019"]]},"page":"102-112","title":"Evaluasi Peran Apoteker Dalam Meningkatkan Mutu Pelayanan Kefarmasian Dan Penggunaan Obat Di RS Kartika Husada","type":"article-journal","volume":"3"},"uris":["http://www.mendeley.com/documents/?uuid=f0f3aa84-004f-4bf1-85f5-f6180f60cd8e"]}],"mendeley":{"formattedCitation":"(Melinda et al., 2019)","plainTextFormattedCitation":"(Melinda et al., 2019)","previouslyFormattedCitation":"(Melinda et al., 2019)"},"properties":{"noteIndex":0},"schema":"https://github.com/citation-style-language/schema/raw/master/csl-citation.json"}</w:instrText>
      </w:r>
      <w:r w:rsidRPr="00C51E09">
        <w:rPr>
          <w:rFonts w:ascii="Times New Roman" w:eastAsia="Times New Roman" w:hAnsi="Times New Roman" w:cs="Times New Roman"/>
          <w:color w:val="000000"/>
          <w:sz w:val="24"/>
          <w:szCs w:val="24"/>
          <w:lang w:val="en-US"/>
        </w:rPr>
        <w:fldChar w:fldCharType="separate"/>
      </w:r>
      <w:r w:rsidRPr="00C51E09">
        <w:rPr>
          <w:rFonts w:ascii="Times New Roman" w:eastAsia="Times New Roman" w:hAnsi="Times New Roman" w:cs="Times New Roman"/>
          <w:color w:val="000000"/>
          <w:sz w:val="24"/>
          <w:szCs w:val="24"/>
          <w:lang w:val="en-US"/>
        </w:rPr>
        <w:t>(Melinda et al., 2019)</w:t>
      </w:r>
      <w:r w:rsidRPr="00C51E09">
        <w:rPr>
          <w:rFonts w:ascii="Times New Roman" w:eastAsia="Times New Roman" w:hAnsi="Times New Roman" w:cs="Times New Roman"/>
          <w:color w:val="000000"/>
          <w:sz w:val="24"/>
          <w:szCs w:val="24"/>
        </w:rPr>
        <w:fldChar w:fldCharType="end"/>
      </w:r>
      <w:r w:rsidRPr="00C51E09">
        <w:rPr>
          <w:rFonts w:ascii="Times New Roman" w:eastAsia="Times New Roman" w:hAnsi="Times New Roman" w:cs="Times New Roman"/>
          <w:color w:val="000000"/>
          <w:sz w:val="24"/>
          <w:szCs w:val="24"/>
          <w:lang w:val="en-US"/>
        </w:rPr>
        <w:t xml:space="preserve">. </w:t>
      </w:r>
    </w:p>
    <w:p w14:paraId="20D1CA8A" w14:textId="77777777" w:rsidR="00D01695" w:rsidRDefault="00D0169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71E9F00" w14:textId="77777777" w:rsidR="00D01695" w:rsidRDefault="00D0169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4CC6B3D7" w14:textId="66A2C57D" w:rsidR="00D01695" w:rsidRDefault="00BF5A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PEMBAHASAN </w:t>
      </w:r>
    </w:p>
    <w:p w14:paraId="076751D2" w14:textId="77777777" w:rsidR="00D406F9" w:rsidRPr="00D406F9" w:rsidRDefault="00D406F9" w:rsidP="00940726">
      <w:pPr>
        <w:numPr>
          <w:ilvl w:val="0"/>
          <w:numId w:val="5"/>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lang w:val="en-US"/>
        </w:rPr>
      </w:pPr>
      <w:r w:rsidRPr="00D406F9">
        <w:rPr>
          <w:rFonts w:ascii="Times New Roman" w:eastAsia="Times New Roman" w:hAnsi="Times New Roman" w:cs="Times New Roman"/>
          <w:b/>
          <w:bCs/>
          <w:color w:val="000000"/>
          <w:lang w:val="en-US"/>
        </w:rPr>
        <w:t>ASPEK MANAJEMEN FARMASI</w:t>
      </w:r>
    </w:p>
    <w:p w14:paraId="21BAAB0D" w14:textId="77777777" w:rsidR="00D406F9" w:rsidRPr="00D406F9" w:rsidRDefault="00D406F9" w:rsidP="00940726">
      <w:pPr>
        <w:numPr>
          <w:ilvl w:val="0"/>
          <w:numId w:val="6"/>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lang w:val="en-US"/>
        </w:rPr>
      </w:pPr>
      <w:r w:rsidRPr="00D406F9">
        <w:rPr>
          <w:rFonts w:ascii="Times New Roman" w:eastAsia="Times New Roman" w:hAnsi="Times New Roman" w:cs="Times New Roman"/>
          <w:b/>
          <w:color w:val="000000"/>
          <w:lang w:val="en-US"/>
        </w:rPr>
        <w:t>Pelayanan Pengelolaan Sediaan Farmasi, Alat Kesehatan (Alkes) &amp; Bahan Medis Habis Pakai (BMHP)</w:t>
      </w:r>
    </w:p>
    <w:p w14:paraId="23910A5D" w14:textId="77777777" w:rsidR="00D406F9" w:rsidRPr="00D406F9" w:rsidRDefault="00D406F9" w:rsidP="00D406F9">
      <w:pPr>
        <w:pBdr>
          <w:top w:val="nil"/>
          <w:left w:val="nil"/>
          <w:bottom w:val="nil"/>
          <w:right w:val="nil"/>
          <w:between w:val="nil"/>
        </w:pBdr>
        <w:spacing w:after="0" w:line="360" w:lineRule="auto"/>
        <w:ind w:firstLine="644"/>
        <w:jc w:val="both"/>
        <w:rPr>
          <w:rFonts w:ascii="Times New Roman" w:eastAsia="Times New Roman" w:hAnsi="Times New Roman" w:cs="Times New Roman"/>
          <w:bCs/>
          <w:color w:val="000000"/>
          <w:lang w:val="en-US"/>
        </w:rPr>
      </w:pPr>
      <w:r w:rsidRPr="00D406F9">
        <w:rPr>
          <w:rFonts w:ascii="Times New Roman" w:eastAsia="Times New Roman" w:hAnsi="Times New Roman" w:cs="Times New Roman"/>
          <w:bCs/>
          <w:color w:val="000000"/>
          <w:lang w:val="en-US"/>
        </w:rPr>
        <w:t>Pengelolaan sediaan farmasi, alkes dan  BMHP merupakan aspek yang sangat penting dalam manajemen rumah sakit dalam penyediaan</w:t>
      </w:r>
      <w:r>
        <w:rPr>
          <w:rFonts w:ascii="Times New Roman" w:eastAsia="Times New Roman" w:hAnsi="Times New Roman" w:cs="Times New Roman"/>
          <w:bCs/>
          <w:color w:val="000000"/>
          <w:lang w:val="en-US"/>
        </w:rPr>
        <w:t xml:space="preserve"> </w:t>
      </w:r>
      <w:r w:rsidRPr="00D406F9">
        <w:rPr>
          <w:rFonts w:ascii="Times New Roman" w:eastAsia="Times New Roman" w:hAnsi="Times New Roman" w:cs="Times New Roman"/>
          <w:bCs/>
          <w:color w:val="000000"/>
          <w:lang w:val="en-US"/>
        </w:rPr>
        <w:t xml:space="preserve">pelayanan medis umum, karena inefisiensi dan kurangnya kelancaran manajemen obat mempunyai dampak negatif secara medis, sosial dan ekonomi terhadap rumah sakit. Instalasi Farmasi RS merupakan salah satu bagian dalam rumah sakit yang memiliki tugas dan bertanggung jawab penuh atas pengelolaan segala aspek yang berkaitan dengan obat atau perbekalan kesehatan yang didistribusikan dan digunakan di rumah sakit </w:t>
      </w:r>
      <w:r w:rsidRPr="00D406F9">
        <w:rPr>
          <w:rFonts w:ascii="Times New Roman" w:eastAsia="Times New Roman" w:hAnsi="Times New Roman" w:cs="Times New Roman"/>
          <w:bCs/>
          <w:color w:val="000000"/>
          <w:lang w:val="en-US"/>
        </w:rPr>
        <w:fldChar w:fldCharType="begin" w:fldLock="1"/>
      </w:r>
      <w:r w:rsidRPr="00D406F9">
        <w:rPr>
          <w:rFonts w:ascii="Times New Roman" w:eastAsia="Times New Roman" w:hAnsi="Times New Roman" w:cs="Times New Roman"/>
          <w:bCs/>
          <w:color w:val="000000"/>
          <w:lang w:val="en-US"/>
        </w:rPr>
        <w:instrText>ADDIN CSL_CITATION {"citationItems":[{"id":"ITEM-1","itemData":{"DOI":"10.35799/pha.8.2019.29240","ISSN":"2302-2493","abstract":"ABSTRACTDrug management is one aspect of hospital management that is very important in providing overall health services because the inefficiency and ineffectiveness of drug management will have a negative impact on hospitals both medically, socially and economically. This study aims to evaluate the storage and distribution of drugs in accordance with the Regulation of the Minister of Health No. 72 of 2016 in Pharmacy Installation of Noongan District Hospital using a descriptive method with a retrospective and prospective approach. The results showed that the drug storage system in the Pharmacy Installation of Noongan General Hospital as a whole was not in accordance with the Regulation of the Minister of Health No. 72 of 2016 such as, warehouses that are not too large to store all drug supplies, the absence of regulators of humidity, the absence of pedestal boards and drugs placed directly on the floor, while the process of drug distribution is in accordance with Minister of Health Regulation No. 72 of 2016 using the Centralization and Individual methods for medicines and the Floor Stock method for Medical Materials. Keywords: Storage, Distribution, Medicine, Pharmacy Installlation Noongan District Hospital  ABSTRAK Pengelolaan obat merupakan salah satu segi manajemen rumah sakit yang sangat penting dalam penyediaan pelayanan kesehatan secara keseluruhan karena ketidakefisienan dan ketidaklancaran pengelolaan obat akan memberi dampak negatif terhadap rumah sakit baik secara medik, sosial, maupun secara ekonomi. Penelitian ini bertujuan untuk mengevaluasi penyimpanan dan pendistribusian obat sesuai  dengan Peraturan Menteri Kesehatan No. 72 Tahun 2016 di Instalasi Farmasi RSUD Noongan menggunakan metode deskriptif dengan pendekatan retrospektif dan prospektif. Hasil penelitian menunjukkan bahwa sistem penyimpanan obat di Instalasi Farmasi RSUD Noongan secara keseluruhan belum sesuai dengan Peraturan Menteri Kesehatan No. 72 Tahun 2016 seperti, gudang yang tidak terlalu luas untuk menyimpan semua persediaan obat, tidak adanya pengatur kelembaban, tidak adanya papan alas dan obat diletakkan langsung dilantai, sedangkan pada proses pendistribusian obat telah sesuai dengan Peraturan Menteri Kesehatan No. 72 Tahun 2016 dengan menggunakan metode Sentralisasi dan Perorangan untuk obat-obatan dan metode Floor Stock untuk Bahan Medis Habis Pakai. Kata Kunci : Penyimpanan, Pendistribusian, Obat, Instalasi Farmasi RSUD Noongan","author":[{"dropping-particle":"","family":"Monibala","given":"Tiarma","non-dropping-particle":"","parse-names":false,"suffix":""},{"dropping-particle":"","family":"Citraningtyas","given":"Gayatri","non-dropping-particle":"","parse-names":false,"suffix":""},{"dropping-particle":"","family":"Yamlean","given":"Paulina V. Y.","non-dropping-particle":"","parse-names":false,"suffix":""}],"container-title":"Pharmacon","id":"ITEM-1","issue":"1","issued":{"date-parts":[["2019"]]},"page":"79","title":"Evaluasi Penyimpanan Dan Pendistribusian Obat Di Instalasi Farmasi Rsud Noongan, Kabupaten Minahasa Provinsi Sulawesi Utara","type":"article-journal","volume":"8"},"uris":["http://www.mendeley.com/documents/?uuid=84b46776-e49c-4403-9acc-f485ed8d5e48"]}],"mendeley":{"formattedCitation":"(Monibala et al., 2019)","plainTextFormattedCitation":"(Monibala et al., 2019)","previouslyFormattedCitation":"(Monibala et al., 2019)"},"properties":{"noteIndex":0},"schema":"https://github.com/citation-style-language/schema/raw/master/csl-citation.json"}</w:instrText>
      </w:r>
      <w:r w:rsidRPr="00D406F9">
        <w:rPr>
          <w:rFonts w:ascii="Times New Roman" w:eastAsia="Times New Roman" w:hAnsi="Times New Roman" w:cs="Times New Roman"/>
          <w:bCs/>
          <w:color w:val="000000"/>
          <w:lang w:val="en-US"/>
        </w:rPr>
        <w:fldChar w:fldCharType="separate"/>
      </w:r>
      <w:r w:rsidRPr="00D406F9">
        <w:rPr>
          <w:rFonts w:ascii="Times New Roman" w:eastAsia="Times New Roman" w:hAnsi="Times New Roman" w:cs="Times New Roman"/>
          <w:bCs/>
          <w:color w:val="000000"/>
          <w:lang w:val="en-US"/>
        </w:rPr>
        <w:t>(Monibala et al., 2019)</w:t>
      </w:r>
      <w:r w:rsidRPr="00D406F9">
        <w:rPr>
          <w:rFonts w:ascii="Times New Roman" w:eastAsia="Times New Roman" w:hAnsi="Times New Roman" w:cs="Times New Roman"/>
          <w:bCs/>
          <w:color w:val="000000"/>
          <w:lang w:val="en-US"/>
        </w:rPr>
        <w:fldChar w:fldCharType="end"/>
      </w:r>
      <w:r w:rsidRPr="00D406F9">
        <w:rPr>
          <w:rFonts w:ascii="Times New Roman" w:eastAsia="Times New Roman" w:hAnsi="Times New Roman" w:cs="Times New Roman"/>
          <w:bCs/>
          <w:color w:val="000000"/>
          <w:lang w:val="en-US"/>
        </w:rPr>
        <w:t>. Berikut hasil skoring dan persentasi kesesuaian evaluasi penerapan standart pelayanan farmasi pengelolaan sediaan farmasi, alkes dan BMHP menurut Permenkes No.72 tahun 2016 tersaji pada Tabel 1.</w:t>
      </w:r>
    </w:p>
    <w:p w14:paraId="1811CE8F" w14:textId="77777777" w:rsidR="00D406F9" w:rsidRPr="00D406F9" w:rsidRDefault="00D406F9" w:rsidP="00D406F9">
      <w:pPr>
        <w:tabs>
          <w:tab w:val="left" w:pos="851"/>
        </w:tabs>
        <w:spacing w:line="360" w:lineRule="auto"/>
        <w:ind w:left="851" w:hanging="851"/>
        <w:jc w:val="both"/>
        <w:rPr>
          <w:rFonts w:ascii="Times New Roman" w:hAnsi="Times New Roman"/>
          <w:b/>
        </w:rPr>
      </w:pPr>
      <w:r w:rsidRPr="00D406F9">
        <w:rPr>
          <w:rFonts w:ascii="Times New Roman" w:hAnsi="Times New Roman"/>
          <w:b/>
        </w:rPr>
        <w:t xml:space="preserve">Tabel 2. </w:t>
      </w:r>
      <w:r w:rsidRPr="00D406F9">
        <w:rPr>
          <w:rFonts w:ascii="Times New Roman" w:hAnsi="Times New Roman"/>
          <w:b/>
        </w:rPr>
        <w:tab/>
        <w:t>Hasil skoring dan Penilaian Pengelolan Sediaan Farmasi, Alkes dan BMHP Di RSUD Praya Kabupaten Lombok Tengah</w:t>
      </w:r>
      <w:r w:rsidRPr="00D406F9">
        <w:rPr>
          <w:rFonts w:ascii="Times New Roman" w:hAnsi="Times New Roman"/>
          <w:b/>
        </w:rPr>
        <w:tab/>
      </w:r>
    </w:p>
    <w:tbl>
      <w:tblPr>
        <w:tblStyle w:val="ListTable6Colorful-Accent61"/>
        <w:tblW w:w="9134" w:type="dxa"/>
        <w:tblLook w:val="04A0" w:firstRow="1" w:lastRow="0" w:firstColumn="1" w:lastColumn="0" w:noHBand="0" w:noVBand="1"/>
      </w:tblPr>
      <w:tblGrid>
        <w:gridCol w:w="652"/>
        <w:gridCol w:w="2610"/>
        <w:gridCol w:w="1468"/>
        <w:gridCol w:w="1305"/>
        <w:gridCol w:w="1468"/>
        <w:gridCol w:w="1631"/>
      </w:tblGrid>
      <w:tr w:rsidR="00D406F9" w:rsidRPr="00D406F9" w14:paraId="7F9C6F50" w14:textId="77777777" w:rsidTr="00D406F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652" w:type="dxa"/>
            <w:tcBorders>
              <w:top w:val="single" w:sz="4" w:space="0" w:color="F79646" w:themeColor="accent6"/>
              <w:left w:val="nil"/>
              <w:right w:val="nil"/>
            </w:tcBorders>
            <w:hideMark/>
          </w:tcPr>
          <w:p w14:paraId="0E8348B3" w14:textId="77777777" w:rsidR="00D406F9" w:rsidRPr="00D406F9" w:rsidRDefault="00D406F9" w:rsidP="007E797E">
            <w:pPr>
              <w:jc w:val="both"/>
              <w:rPr>
                <w:rFonts w:ascii="Times New Roman" w:hAnsi="Times New Roman"/>
                <w:b w:val="0"/>
                <w:color w:val="000000" w:themeColor="text1"/>
              </w:rPr>
            </w:pPr>
            <w:r w:rsidRPr="00D406F9">
              <w:rPr>
                <w:rFonts w:ascii="Times New Roman" w:hAnsi="Times New Roman"/>
                <w:b w:val="0"/>
                <w:color w:val="000000" w:themeColor="text1"/>
              </w:rPr>
              <w:t>No.</w:t>
            </w:r>
          </w:p>
        </w:tc>
        <w:tc>
          <w:tcPr>
            <w:tcW w:w="2610" w:type="dxa"/>
            <w:tcBorders>
              <w:top w:val="single" w:sz="4" w:space="0" w:color="F79646" w:themeColor="accent6"/>
              <w:left w:val="nil"/>
              <w:right w:val="nil"/>
            </w:tcBorders>
            <w:hideMark/>
          </w:tcPr>
          <w:p w14:paraId="5D88BE9C" w14:textId="77777777" w:rsidR="00D406F9" w:rsidRPr="00D406F9" w:rsidRDefault="00D406F9"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rPr>
            </w:pPr>
            <w:r w:rsidRPr="00D406F9">
              <w:rPr>
                <w:rFonts w:ascii="Times New Roman" w:hAnsi="Times New Roman"/>
                <w:b w:val="0"/>
                <w:color w:val="000000" w:themeColor="text1"/>
              </w:rPr>
              <w:t>Aspek Pelayanaan Kefarmasian</w:t>
            </w:r>
          </w:p>
        </w:tc>
        <w:tc>
          <w:tcPr>
            <w:tcW w:w="1468" w:type="dxa"/>
            <w:tcBorders>
              <w:top w:val="single" w:sz="4" w:space="0" w:color="F79646" w:themeColor="accent6"/>
              <w:left w:val="nil"/>
              <w:right w:val="nil"/>
            </w:tcBorders>
            <w:hideMark/>
          </w:tcPr>
          <w:p w14:paraId="620560BA" w14:textId="77777777" w:rsidR="00D406F9" w:rsidRPr="00D406F9" w:rsidRDefault="00D406F9"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rPr>
            </w:pPr>
            <w:r w:rsidRPr="00D406F9">
              <w:rPr>
                <w:rFonts w:ascii="Times New Roman" w:hAnsi="Times New Roman"/>
                <w:b w:val="0"/>
                <w:color w:val="000000" w:themeColor="text1"/>
              </w:rPr>
              <w:t>∑ Pertanyaan</w:t>
            </w:r>
          </w:p>
        </w:tc>
        <w:tc>
          <w:tcPr>
            <w:tcW w:w="1305" w:type="dxa"/>
            <w:tcBorders>
              <w:top w:val="single" w:sz="4" w:space="0" w:color="F79646" w:themeColor="accent6"/>
              <w:left w:val="nil"/>
              <w:right w:val="nil"/>
            </w:tcBorders>
            <w:hideMark/>
          </w:tcPr>
          <w:p w14:paraId="035CBBA8" w14:textId="77777777" w:rsidR="00D406F9" w:rsidRPr="00D406F9" w:rsidRDefault="00D406F9"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rPr>
            </w:pPr>
            <w:r w:rsidRPr="00D406F9">
              <w:rPr>
                <w:rFonts w:ascii="Times New Roman" w:hAnsi="Times New Roman"/>
                <w:b w:val="0"/>
                <w:color w:val="000000" w:themeColor="text1"/>
              </w:rPr>
              <w:t>Skoring</w:t>
            </w:r>
          </w:p>
        </w:tc>
        <w:tc>
          <w:tcPr>
            <w:tcW w:w="1468" w:type="dxa"/>
            <w:tcBorders>
              <w:top w:val="single" w:sz="4" w:space="0" w:color="F79646" w:themeColor="accent6"/>
              <w:left w:val="nil"/>
              <w:right w:val="nil"/>
            </w:tcBorders>
            <w:hideMark/>
          </w:tcPr>
          <w:p w14:paraId="1797C7B8" w14:textId="77777777" w:rsidR="00D406F9" w:rsidRPr="00D406F9" w:rsidRDefault="00D406F9"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rPr>
            </w:pPr>
            <w:r w:rsidRPr="00D406F9">
              <w:rPr>
                <w:rFonts w:ascii="Times New Roman" w:hAnsi="Times New Roman"/>
                <w:b w:val="0"/>
                <w:color w:val="000000" w:themeColor="text1"/>
              </w:rPr>
              <w:t>% Kesesuaian</w:t>
            </w:r>
          </w:p>
        </w:tc>
        <w:tc>
          <w:tcPr>
            <w:tcW w:w="1631" w:type="dxa"/>
            <w:tcBorders>
              <w:top w:val="single" w:sz="4" w:space="0" w:color="F79646" w:themeColor="accent6"/>
              <w:left w:val="nil"/>
              <w:right w:val="nil"/>
            </w:tcBorders>
            <w:hideMark/>
          </w:tcPr>
          <w:p w14:paraId="34D58D59" w14:textId="77777777" w:rsidR="00D406F9" w:rsidRPr="00D406F9" w:rsidRDefault="00D406F9"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rPr>
            </w:pPr>
            <w:r w:rsidRPr="00D406F9">
              <w:rPr>
                <w:rFonts w:ascii="Times New Roman" w:hAnsi="Times New Roman"/>
                <w:b w:val="0"/>
                <w:color w:val="000000" w:themeColor="text1"/>
              </w:rPr>
              <w:t>Kategori</w:t>
            </w:r>
          </w:p>
        </w:tc>
      </w:tr>
      <w:tr w:rsidR="00D406F9" w:rsidRPr="00D406F9" w14:paraId="433EC5B6" w14:textId="77777777" w:rsidTr="003F656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shd w:val="clear" w:color="auto" w:fill="EAF1DD" w:themeFill="accent3" w:themeFillTint="33"/>
          </w:tcPr>
          <w:p w14:paraId="2F67440E" w14:textId="77777777" w:rsidR="00D406F9" w:rsidRPr="00D406F9" w:rsidRDefault="00D406F9" w:rsidP="007E797E">
            <w:pPr>
              <w:jc w:val="both"/>
              <w:rPr>
                <w:rFonts w:ascii="Times New Roman" w:hAnsi="Times New Roman"/>
                <w:b w:val="0"/>
                <w:color w:val="000000" w:themeColor="text1"/>
              </w:rPr>
            </w:pPr>
          </w:p>
        </w:tc>
        <w:tc>
          <w:tcPr>
            <w:tcW w:w="2610" w:type="dxa"/>
            <w:tcBorders>
              <w:top w:val="nil"/>
              <w:left w:val="nil"/>
              <w:bottom w:val="nil"/>
              <w:right w:val="nil"/>
            </w:tcBorders>
            <w:shd w:val="clear" w:color="auto" w:fill="EAF1DD" w:themeFill="accent3" w:themeFillTint="33"/>
          </w:tcPr>
          <w:p w14:paraId="27AA8775" w14:textId="77777777" w:rsidR="00D406F9" w:rsidRPr="00D406F9" w:rsidRDefault="00D406F9"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p>
        </w:tc>
        <w:tc>
          <w:tcPr>
            <w:tcW w:w="1468" w:type="dxa"/>
            <w:tcBorders>
              <w:top w:val="nil"/>
              <w:left w:val="nil"/>
              <w:bottom w:val="nil"/>
              <w:right w:val="nil"/>
            </w:tcBorders>
            <w:shd w:val="clear" w:color="auto" w:fill="EAF1DD" w:themeFill="accent3" w:themeFillTint="33"/>
          </w:tcPr>
          <w:p w14:paraId="541B5A16"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p>
        </w:tc>
        <w:tc>
          <w:tcPr>
            <w:tcW w:w="1305" w:type="dxa"/>
            <w:tcBorders>
              <w:top w:val="nil"/>
              <w:left w:val="nil"/>
              <w:bottom w:val="nil"/>
              <w:right w:val="nil"/>
            </w:tcBorders>
            <w:shd w:val="clear" w:color="auto" w:fill="EAF1DD" w:themeFill="accent3" w:themeFillTint="33"/>
          </w:tcPr>
          <w:p w14:paraId="385BDBE1"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p>
        </w:tc>
        <w:tc>
          <w:tcPr>
            <w:tcW w:w="1468" w:type="dxa"/>
            <w:tcBorders>
              <w:top w:val="nil"/>
              <w:left w:val="nil"/>
              <w:bottom w:val="nil"/>
              <w:right w:val="nil"/>
            </w:tcBorders>
            <w:shd w:val="clear" w:color="auto" w:fill="EAF1DD" w:themeFill="accent3" w:themeFillTint="33"/>
          </w:tcPr>
          <w:p w14:paraId="370F1111"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p>
        </w:tc>
        <w:tc>
          <w:tcPr>
            <w:tcW w:w="1631" w:type="dxa"/>
            <w:tcBorders>
              <w:top w:val="nil"/>
              <w:left w:val="nil"/>
              <w:bottom w:val="nil"/>
              <w:right w:val="nil"/>
            </w:tcBorders>
            <w:shd w:val="clear" w:color="auto" w:fill="EAF1DD" w:themeFill="accent3" w:themeFillTint="33"/>
          </w:tcPr>
          <w:p w14:paraId="580E9A35"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p>
        </w:tc>
      </w:tr>
      <w:tr w:rsidR="00D406F9" w:rsidRPr="00D406F9" w14:paraId="567AC688" w14:textId="77777777" w:rsidTr="00D406F9">
        <w:trPr>
          <w:trHeight w:val="235"/>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hideMark/>
          </w:tcPr>
          <w:p w14:paraId="5A33A484"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1</w:t>
            </w:r>
          </w:p>
        </w:tc>
        <w:tc>
          <w:tcPr>
            <w:tcW w:w="2610" w:type="dxa"/>
            <w:tcBorders>
              <w:top w:val="nil"/>
              <w:left w:val="nil"/>
              <w:bottom w:val="nil"/>
              <w:right w:val="nil"/>
            </w:tcBorders>
            <w:hideMark/>
          </w:tcPr>
          <w:p w14:paraId="0A3B4E26" w14:textId="77777777" w:rsidR="00D406F9" w:rsidRPr="00D406F9" w:rsidRDefault="00D406F9"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Pemilihan</w:t>
            </w:r>
          </w:p>
        </w:tc>
        <w:tc>
          <w:tcPr>
            <w:tcW w:w="1468" w:type="dxa"/>
            <w:tcBorders>
              <w:top w:val="nil"/>
              <w:left w:val="nil"/>
              <w:bottom w:val="nil"/>
              <w:right w:val="nil"/>
            </w:tcBorders>
            <w:hideMark/>
          </w:tcPr>
          <w:p w14:paraId="2031B464"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2</w:t>
            </w:r>
          </w:p>
        </w:tc>
        <w:tc>
          <w:tcPr>
            <w:tcW w:w="1305" w:type="dxa"/>
            <w:tcBorders>
              <w:top w:val="nil"/>
              <w:left w:val="nil"/>
              <w:bottom w:val="nil"/>
              <w:right w:val="nil"/>
            </w:tcBorders>
            <w:hideMark/>
          </w:tcPr>
          <w:p w14:paraId="2DE216BA"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2</w:t>
            </w:r>
          </w:p>
        </w:tc>
        <w:tc>
          <w:tcPr>
            <w:tcW w:w="1468" w:type="dxa"/>
            <w:tcBorders>
              <w:top w:val="nil"/>
              <w:left w:val="nil"/>
              <w:bottom w:val="nil"/>
              <w:right w:val="nil"/>
            </w:tcBorders>
            <w:hideMark/>
          </w:tcPr>
          <w:p w14:paraId="558EB277"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100</w:t>
            </w:r>
          </w:p>
        </w:tc>
        <w:tc>
          <w:tcPr>
            <w:tcW w:w="1631" w:type="dxa"/>
            <w:tcBorders>
              <w:top w:val="nil"/>
              <w:left w:val="nil"/>
              <w:bottom w:val="nil"/>
              <w:right w:val="nil"/>
            </w:tcBorders>
            <w:hideMark/>
          </w:tcPr>
          <w:p w14:paraId="5E61515A"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Sangat Baik</w:t>
            </w:r>
          </w:p>
        </w:tc>
      </w:tr>
      <w:tr w:rsidR="00D406F9" w:rsidRPr="00D406F9" w14:paraId="444C8391" w14:textId="77777777" w:rsidTr="003F656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shd w:val="clear" w:color="auto" w:fill="EAF1DD" w:themeFill="accent3" w:themeFillTint="33"/>
            <w:hideMark/>
          </w:tcPr>
          <w:p w14:paraId="3F1F2B45"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2</w:t>
            </w:r>
          </w:p>
        </w:tc>
        <w:tc>
          <w:tcPr>
            <w:tcW w:w="2610" w:type="dxa"/>
            <w:tcBorders>
              <w:top w:val="nil"/>
              <w:left w:val="nil"/>
              <w:bottom w:val="nil"/>
              <w:right w:val="nil"/>
            </w:tcBorders>
            <w:shd w:val="clear" w:color="auto" w:fill="EAF1DD" w:themeFill="accent3" w:themeFillTint="33"/>
            <w:hideMark/>
          </w:tcPr>
          <w:p w14:paraId="29CBC412" w14:textId="77777777" w:rsidR="00D406F9" w:rsidRPr="00D406F9" w:rsidRDefault="00D406F9"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Perencanaan</w:t>
            </w:r>
          </w:p>
        </w:tc>
        <w:tc>
          <w:tcPr>
            <w:tcW w:w="1468" w:type="dxa"/>
            <w:tcBorders>
              <w:top w:val="nil"/>
              <w:left w:val="nil"/>
              <w:bottom w:val="nil"/>
              <w:right w:val="nil"/>
            </w:tcBorders>
            <w:shd w:val="clear" w:color="auto" w:fill="EAF1DD" w:themeFill="accent3" w:themeFillTint="33"/>
            <w:hideMark/>
          </w:tcPr>
          <w:p w14:paraId="092D9D64"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3</w:t>
            </w:r>
          </w:p>
        </w:tc>
        <w:tc>
          <w:tcPr>
            <w:tcW w:w="1305" w:type="dxa"/>
            <w:tcBorders>
              <w:top w:val="nil"/>
              <w:left w:val="nil"/>
              <w:bottom w:val="nil"/>
              <w:right w:val="nil"/>
            </w:tcBorders>
            <w:shd w:val="clear" w:color="auto" w:fill="EAF1DD" w:themeFill="accent3" w:themeFillTint="33"/>
            <w:hideMark/>
          </w:tcPr>
          <w:p w14:paraId="35FBB74E"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3</w:t>
            </w:r>
          </w:p>
        </w:tc>
        <w:tc>
          <w:tcPr>
            <w:tcW w:w="1468" w:type="dxa"/>
            <w:tcBorders>
              <w:top w:val="nil"/>
              <w:left w:val="nil"/>
              <w:bottom w:val="nil"/>
              <w:right w:val="nil"/>
            </w:tcBorders>
            <w:shd w:val="clear" w:color="auto" w:fill="EAF1DD" w:themeFill="accent3" w:themeFillTint="33"/>
            <w:hideMark/>
          </w:tcPr>
          <w:p w14:paraId="14B40B19"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100</w:t>
            </w:r>
          </w:p>
        </w:tc>
        <w:tc>
          <w:tcPr>
            <w:tcW w:w="1631" w:type="dxa"/>
            <w:tcBorders>
              <w:top w:val="nil"/>
              <w:left w:val="nil"/>
              <w:bottom w:val="nil"/>
              <w:right w:val="nil"/>
            </w:tcBorders>
            <w:shd w:val="clear" w:color="auto" w:fill="EAF1DD" w:themeFill="accent3" w:themeFillTint="33"/>
            <w:hideMark/>
          </w:tcPr>
          <w:p w14:paraId="5A1A76CD"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Sangat Baik</w:t>
            </w:r>
          </w:p>
        </w:tc>
      </w:tr>
      <w:tr w:rsidR="00D406F9" w:rsidRPr="00D406F9" w14:paraId="60E6FD68" w14:textId="77777777" w:rsidTr="00D406F9">
        <w:trPr>
          <w:trHeight w:val="235"/>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hideMark/>
          </w:tcPr>
          <w:p w14:paraId="46603D7F"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3</w:t>
            </w:r>
          </w:p>
        </w:tc>
        <w:tc>
          <w:tcPr>
            <w:tcW w:w="2610" w:type="dxa"/>
            <w:tcBorders>
              <w:top w:val="nil"/>
              <w:left w:val="nil"/>
              <w:bottom w:val="nil"/>
              <w:right w:val="nil"/>
            </w:tcBorders>
            <w:hideMark/>
          </w:tcPr>
          <w:p w14:paraId="75241995" w14:textId="77777777" w:rsidR="00D406F9" w:rsidRPr="00D406F9" w:rsidRDefault="00D406F9"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Pengadaan</w:t>
            </w:r>
          </w:p>
        </w:tc>
        <w:tc>
          <w:tcPr>
            <w:tcW w:w="1468" w:type="dxa"/>
            <w:tcBorders>
              <w:top w:val="nil"/>
              <w:left w:val="nil"/>
              <w:bottom w:val="nil"/>
              <w:right w:val="nil"/>
            </w:tcBorders>
            <w:hideMark/>
          </w:tcPr>
          <w:p w14:paraId="04F67147"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3</w:t>
            </w:r>
          </w:p>
        </w:tc>
        <w:tc>
          <w:tcPr>
            <w:tcW w:w="1305" w:type="dxa"/>
            <w:tcBorders>
              <w:top w:val="nil"/>
              <w:left w:val="nil"/>
              <w:bottom w:val="nil"/>
              <w:right w:val="nil"/>
            </w:tcBorders>
            <w:hideMark/>
          </w:tcPr>
          <w:p w14:paraId="7D6465EA"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2</w:t>
            </w:r>
          </w:p>
        </w:tc>
        <w:tc>
          <w:tcPr>
            <w:tcW w:w="1468" w:type="dxa"/>
            <w:tcBorders>
              <w:top w:val="nil"/>
              <w:left w:val="nil"/>
              <w:bottom w:val="nil"/>
              <w:right w:val="nil"/>
            </w:tcBorders>
            <w:hideMark/>
          </w:tcPr>
          <w:p w14:paraId="0FA6B9E5"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66</w:t>
            </w:r>
          </w:p>
        </w:tc>
        <w:tc>
          <w:tcPr>
            <w:tcW w:w="1631" w:type="dxa"/>
            <w:tcBorders>
              <w:top w:val="nil"/>
              <w:left w:val="nil"/>
              <w:bottom w:val="nil"/>
              <w:right w:val="nil"/>
            </w:tcBorders>
            <w:hideMark/>
          </w:tcPr>
          <w:p w14:paraId="0A3651A6"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Baik</w:t>
            </w:r>
          </w:p>
        </w:tc>
      </w:tr>
      <w:tr w:rsidR="00D406F9" w:rsidRPr="00D406F9" w14:paraId="505F9046" w14:textId="77777777" w:rsidTr="003F656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shd w:val="clear" w:color="auto" w:fill="EAF1DD" w:themeFill="accent3" w:themeFillTint="33"/>
            <w:hideMark/>
          </w:tcPr>
          <w:p w14:paraId="18947027"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4</w:t>
            </w:r>
          </w:p>
        </w:tc>
        <w:tc>
          <w:tcPr>
            <w:tcW w:w="2610" w:type="dxa"/>
            <w:tcBorders>
              <w:top w:val="nil"/>
              <w:left w:val="nil"/>
              <w:bottom w:val="nil"/>
              <w:right w:val="nil"/>
            </w:tcBorders>
            <w:shd w:val="clear" w:color="auto" w:fill="EAF1DD" w:themeFill="accent3" w:themeFillTint="33"/>
            <w:hideMark/>
          </w:tcPr>
          <w:p w14:paraId="119F34D4" w14:textId="77777777" w:rsidR="00D406F9" w:rsidRPr="00D406F9" w:rsidRDefault="00D406F9"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Penerimaan</w:t>
            </w:r>
          </w:p>
        </w:tc>
        <w:tc>
          <w:tcPr>
            <w:tcW w:w="1468" w:type="dxa"/>
            <w:tcBorders>
              <w:top w:val="nil"/>
              <w:left w:val="nil"/>
              <w:bottom w:val="nil"/>
              <w:right w:val="nil"/>
            </w:tcBorders>
            <w:shd w:val="clear" w:color="auto" w:fill="EAF1DD" w:themeFill="accent3" w:themeFillTint="33"/>
            <w:hideMark/>
          </w:tcPr>
          <w:p w14:paraId="23BA6662"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w:t>
            </w:r>
          </w:p>
        </w:tc>
        <w:tc>
          <w:tcPr>
            <w:tcW w:w="1305" w:type="dxa"/>
            <w:tcBorders>
              <w:top w:val="nil"/>
              <w:left w:val="nil"/>
              <w:bottom w:val="nil"/>
              <w:right w:val="nil"/>
            </w:tcBorders>
            <w:shd w:val="clear" w:color="auto" w:fill="EAF1DD" w:themeFill="accent3" w:themeFillTint="33"/>
            <w:hideMark/>
          </w:tcPr>
          <w:p w14:paraId="40F68E60"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w:t>
            </w:r>
          </w:p>
        </w:tc>
        <w:tc>
          <w:tcPr>
            <w:tcW w:w="1468" w:type="dxa"/>
            <w:tcBorders>
              <w:top w:val="nil"/>
              <w:left w:val="nil"/>
              <w:bottom w:val="nil"/>
              <w:right w:val="nil"/>
            </w:tcBorders>
            <w:shd w:val="clear" w:color="auto" w:fill="EAF1DD" w:themeFill="accent3" w:themeFillTint="33"/>
            <w:hideMark/>
          </w:tcPr>
          <w:p w14:paraId="4DC0CB5F"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100</w:t>
            </w:r>
          </w:p>
        </w:tc>
        <w:tc>
          <w:tcPr>
            <w:tcW w:w="1631" w:type="dxa"/>
            <w:tcBorders>
              <w:top w:val="nil"/>
              <w:left w:val="nil"/>
              <w:bottom w:val="nil"/>
              <w:right w:val="nil"/>
            </w:tcBorders>
            <w:shd w:val="clear" w:color="auto" w:fill="EAF1DD" w:themeFill="accent3" w:themeFillTint="33"/>
            <w:hideMark/>
          </w:tcPr>
          <w:p w14:paraId="7846D4D3"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Sangat Baik</w:t>
            </w:r>
          </w:p>
        </w:tc>
      </w:tr>
      <w:tr w:rsidR="00D406F9" w:rsidRPr="00D406F9" w14:paraId="7B807356" w14:textId="77777777" w:rsidTr="00D406F9">
        <w:trPr>
          <w:trHeight w:val="235"/>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hideMark/>
          </w:tcPr>
          <w:p w14:paraId="7D2E9D60"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5</w:t>
            </w:r>
          </w:p>
        </w:tc>
        <w:tc>
          <w:tcPr>
            <w:tcW w:w="2610" w:type="dxa"/>
            <w:tcBorders>
              <w:top w:val="nil"/>
              <w:left w:val="nil"/>
              <w:bottom w:val="nil"/>
              <w:right w:val="nil"/>
            </w:tcBorders>
            <w:hideMark/>
          </w:tcPr>
          <w:p w14:paraId="005864D0" w14:textId="77777777" w:rsidR="00D406F9" w:rsidRPr="00D406F9" w:rsidRDefault="00D406F9"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Penyimpanan</w:t>
            </w:r>
          </w:p>
        </w:tc>
        <w:tc>
          <w:tcPr>
            <w:tcW w:w="1468" w:type="dxa"/>
            <w:tcBorders>
              <w:top w:val="nil"/>
              <w:left w:val="nil"/>
              <w:bottom w:val="nil"/>
              <w:right w:val="nil"/>
            </w:tcBorders>
            <w:hideMark/>
          </w:tcPr>
          <w:p w14:paraId="5A2039A1"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6</w:t>
            </w:r>
          </w:p>
        </w:tc>
        <w:tc>
          <w:tcPr>
            <w:tcW w:w="1305" w:type="dxa"/>
            <w:tcBorders>
              <w:top w:val="nil"/>
              <w:left w:val="nil"/>
              <w:bottom w:val="nil"/>
              <w:right w:val="nil"/>
            </w:tcBorders>
            <w:hideMark/>
          </w:tcPr>
          <w:p w14:paraId="214FCCED"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6</w:t>
            </w:r>
          </w:p>
        </w:tc>
        <w:tc>
          <w:tcPr>
            <w:tcW w:w="1468" w:type="dxa"/>
            <w:tcBorders>
              <w:top w:val="nil"/>
              <w:left w:val="nil"/>
              <w:bottom w:val="nil"/>
              <w:right w:val="nil"/>
            </w:tcBorders>
            <w:hideMark/>
          </w:tcPr>
          <w:p w14:paraId="0D75767E"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100</w:t>
            </w:r>
          </w:p>
        </w:tc>
        <w:tc>
          <w:tcPr>
            <w:tcW w:w="1631" w:type="dxa"/>
            <w:tcBorders>
              <w:top w:val="nil"/>
              <w:left w:val="nil"/>
              <w:bottom w:val="nil"/>
              <w:right w:val="nil"/>
            </w:tcBorders>
            <w:hideMark/>
          </w:tcPr>
          <w:p w14:paraId="6E4F83CE"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Sangat Baik</w:t>
            </w:r>
          </w:p>
        </w:tc>
      </w:tr>
      <w:tr w:rsidR="00D406F9" w:rsidRPr="00D406F9" w14:paraId="742DA40D" w14:textId="77777777" w:rsidTr="003F656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shd w:val="clear" w:color="auto" w:fill="EAF1DD" w:themeFill="accent3" w:themeFillTint="33"/>
            <w:hideMark/>
          </w:tcPr>
          <w:p w14:paraId="09D5B40A"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lastRenderedPageBreak/>
              <w:t>6</w:t>
            </w:r>
          </w:p>
        </w:tc>
        <w:tc>
          <w:tcPr>
            <w:tcW w:w="2610" w:type="dxa"/>
            <w:tcBorders>
              <w:top w:val="nil"/>
              <w:left w:val="nil"/>
              <w:bottom w:val="nil"/>
              <w:right w:val="nil"/>
            </w:tcBorders>
            <w:shd w:val="clear" w:color="auto" w:fill="EAF1DD" w:themeFill="accent3" w:themeFillTint="33"/>
            <w:hideMark/>
          </w:tcPr>
          <w:p w14:paraId="6668989B" w14:textId="77777777" w:rsidR="00D406F9" w:rsidRPr="00D406F9" w:rsidRDefault="00D406F9"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Pendistribusian</w:t>
            </w:r>
          </w:p>
        </w:tc>
        <w:tc>
          <w:tcPr>
            <w:tcW w:w="1468" w:type="dxa"/>
            <w:tcBorders>
              <w:top w:val="nil"/>
              <w:left w:val="nil"/>
              <w:bottom w:val="nil"/>
              <w:right w:val="nil"/>
            </w:tcBorders>
            <w:shd w:val="clear" w:color="auto" w:fill="EAF1DD" w:themeFill="accent3" w:themeFillTint="33"/>
            <w:hideMark/>
          </w:tcPr>
          <w:p w14:paraId="55B35C42"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4</w:t>
            </w:r>
          </w:p>
        </w:tc>
        <w:tc>
          <w:tcPr>
            <w:tcW w:w="1305" w:type="dxa"/>
            <w:tcBorders>
              <w:top w:val="nil"/>
              <w:left w:val="nil"/>
              <w:bottom w:val="nil"/>
              <w:right w:val="nil"/>
            </w:tcBorders>
            <w:shd w:val="clear" w:color="auto" w:fill="EAF1DD" w:themeFill="accent3" w:themeFillTint="33"/>
            <w:hideMark/>
          </w:tcPr>
          <w:p w14:paraId="5CE723AC"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3</w:t>
            </w:r>
          </w:p>
        </w:tc>
        <w:tc>
          <w:tcPr>
            <w:tcW w:w="1468" w:type="dxa"/>
            <w:tcBorders>
              <w:top w:val="nil"/>
              <w:left w:val="nil"/>
              <w:bottom w:val="nil"/>
              <w:right w:val="nil"/>
            </w:tcBorders>
            <w:shd w:val="clear" w:color="auto" w:fill="EAF1DD" w:themeFill="accent3" w:themeFillTint="33"/>
            <w:hideMark/>
          </w:tcPr>
          <w:p w14:paraId="2A505334"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75</w:t>
            </w:r>
          </w:p>
        </w:tc>
        <w:tc>
          <w:tcPr>
            <w:tcW w:w="1631" w:type="dxa"/>
            <w:tcBorders>
              <w:top w:val="nil"/>
              <w:left w:val="nil"/>
              <w:bottom w:val="nil"/>
              <w:right w:val="nil"/>
            </w:tcBorders>
            <w:shd w:val="clear" w:color="auto" w:fill="EAF1DD" w:themeFill="accent3" w:themeFillTint="33"/>
            <w:hideMark/>
          </w:tcPr>
          <w:p w14:paraId="6694C3EF"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Baik</w:t>
            </w:r>
          </w:p>
        </w:tc>
      </w:tr>
      <w:tr w:rsidR="00D406F9" w:rsidRPr="00D406F9" w14:paraId="59309509" w14:textId="77777777" w:rsidTr="00D406F9">
        <w:trPr>
          <w:trHeight w:val="235"/>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hideMark/>
          </w:tcPr>
          <w:p w14:paraId="15FB8D12"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7</w:t>
            </w:r>
          </w:p>
        </w:tc>
        <w:tc>
          <w:tcPr>
            <w:tcW w:w="2610" w:type="dxa"/>
            <w:tcBorders>
              <w:top w:val="nil"/>
              <w:left w:val="nil"/>
              <w:bottom w:val="nil"/>
              <w:right w:val="nil"/>
            </w:tcBorders>
            <w:hideMark/>
          </w:tcPr>
          <w:p w14:paraId="6E5FB93D" w14:textId="77777777" w:rsidR="00D406F9" w:rsidRPr="00D406F9" w:rsidRDefault="00D406F9"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Pemusnahan dan Penarikan</w:t>
            </w:r>
          </w:p>
        </w:tc>
        <w:tc>
          <w:tcPr>
            <w:tcW w:w="1468" w:type="dxa"/>
            <w:tcBorders>
              <w:top w:val="nil"/>
              <w:left w:val="nil"/>
              <w:bottom w:val="nil"/>
              <w:right w:val="nil"/>
            </w:tcBorders>
            <w:hideMark/>
          </w:tcPr>
          <w:p w14:paraId="695240DC"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2</w:t>
            </w:r>
          </w:p>
        </w:tc>
        <w:tc>
          <w:tcPr>
            <w:tcW w:w="1305" w:type="dxa"/>
            <w:tcBorders>
              <w:top w:val="nil"/>
              <w:left w:val="nil"/>
              <w:bottom w:val="nil"/>
              <w:right w:val="nil"/>
            </w:tcBorders>
            <w:hideMark/>
          </w:tcPr>
          <w:p w14:paraId="138F20C0"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2</w:t>
            </w:r>
          </w:p>
        </w:tc>
        <w:tc>
          <w:tcPr>
            <w:tcW w:w="1468" w:type="dxa"/>
            <w:tcBorders>
              <w:top w:val="nil"/>
              <w:left w:val="nil"/>
              <w:bottom w:val="nil"/>
              <w:right w:val="nil"/>
            </w:tcBorders>
            <w:hideMark/>
          </w:tcPr>
          <w:p w14:paraId="74E81DA5"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100</w:t>
            </w:r>
          </w:p>
        </w:tc>
        <w:tc>
          <w:tcPr>
            <w:tcW w:w="1631" w:type="dxa"/>
            <w:tcBorders>
              <w:top w:val="nil"/>
              <w:left w:val="nil"/>
              <w:bottom w:val="nil"/>
              <w:right w:val="nil"/>
            </w:tcBorders>
            <w:hideMark/>
          </w:tcPr>
          <w:p w14:paraId="07C6301E"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Sangat Baik</w:t>
            </w:r>
          </w:p>
        </w:tc>
      </w:tr>
      <w:tr w:rsidR="00D406F9" w:rsidRPr="00D406F9" w14:paraId="0C22E2F9" w14:textId="77777777" w:rsidTr="003F656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nil"/>
              <w:right w:val="nil"/>
            </w:tcBorders>
            <w:shd w:val="clear" w:color="auto" w:fill="EAF1DD" w:themeFill="accent3" w:themeFillTint="33"/>
            <w:hideMark/>
          </w:tcPr>
          <w:p w14:paraId="37D26591"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8</w:t>
            </w:r>
          </w:p>
        </w:tc>
        <w:tc>
          <w:tcPr>
            <w:tcW w:w="2610" w:type="dxa"/>
            <w:tcBorders>
              <w:top w:val="nil"/>
              <w:left w:val="nil"/>
              <w:bottom w:val="nil"/>
              <w:right w:val="nil"/>
            </w:tcBorders>
            <w:shd w:val="clear" w:color="auto" w:fill="EAF1DD" w:themeFill="accent3" w:themeFillTint="33"/>
            <w:hideMark/>
          </w:tcPr>
          <w:p w14:paraId="1D8F49B7" w14:textId="77777777" w:rsidR="00D406F9" w:rsidRPr="00D406F9" w:rsidRDefault="00D406F9"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Pengendalian</w:t>
            </w:r>
          </w:p>
        </w:tc>
        <w:tc>
          <w:tcPr>
            <w:tcW w:w="1468" w:type="dxa"/>
            <w:tcBorders>
              <w:top w:val="nil"/>
              <w:left w:val="nil"/>
              <w:bottom w:val="nil"/>
              <w:right w:val="nil"/>
            </w:tcBorders>
            <w:shd w:val="clear" w:color="auto" w:fill="EAF1DD" w:themeFill="accent3" w:themeFillTint="33"/>
            <w:hideMark/>
          </w:tcPr>
          <w:p w14:paraId="1D0BA363"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2</w:t>
            </w:r>
          </w:p>
        </w:tc>
        <w:tc>
          <w:tcPr>
            <w:tcW w:w="1305" w:type="dxa"/>
            <w:tcBorders>
              <w:top w:val="nil"/>
              <w:left w:val="nil"/>
              <w:bottom w:val="nil"/>
              <w:right w:val="nil"/>
            </w:tcBorders>
            <w:shd w:val="clear" w:color="auto" w:fill="EAF1DD" w:themeFill="accent3" w:themeFillTint="33"/>
            <w:hideMark/>
          </w:tcPr>
          <w:p w14:paraId="6287BF64"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2</w:t>
            </w:r>
          </w:p>
        </w:tc>
        <w:tc>
          <w:tcPr>
            <w:tcW w:w="1468" w:type="dxa"/>
            <w:tcBorders>
              <w:top w:val="nil"/>
              <w:left w:val="nil"/>
              <w:bottom w:val="nil"/>
              <w:right w:val="nil"/>
            </w:tcBorders>
            <w:shd w:val="clear" w:color="auto" w:fill="EAF1DD" w:themeFill="accent3" w:themeFillTint="33"/>
            <w:hideMark/>
          </w:tcPr>
          <w:p w14:paraId="0CC64289"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100</w:t>
            </w:r>
          </w:p>
        </w:tc>
        <w:tc>
          <w:tcPr>
            <w:tcW w:w="1631" w:type="dxa"/>
            <w:tcBorders>
              <w:top w:val="nil"/>
              <w:left w:val="nil"/>
              <w:bottom w:val="nil"/>
              <w:right w:val="nil"/>
            </w:tcBorders>
            <w:shd w:val="clear" w:color="auto" w:fill="EAF1DD" w:themeFill="accent3" w:themeFillTint="33"/>
            <w:hideMark/>
          </w:tcPr>
          <w:p w14:paraId="2CF34821" w14:textId="77777777" w:rsidR="00D406F9" w:rsidRPr="00D406F9" w:rsidRDefault="00D406F9"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Sangat Baik</w:t>
            </w:r>
          </w:p>
        </w:tc>
      </w:tr>
      <w:tr w:rsidR="00D406F9" w:rsidRPr="00D406F9" w14:paraId="07459E1A" w14:textId="77777777" w:rsidTr="00D406F9">
        <w:trPr>
          <w:trHeight w:val="235"/>
        </w:trPr>
        <w:tc>
          <w:tcPr>
            <w:cnfStyle w:val="001000000000" w:firstRow="0" w:lastRow="0" w:firstColumn="1" w:lastColumn="0" w:oddVBand="0" w:evenVBand="0" w:oddHBand="0" w:evenHBand="0" w:firstRowFirstColumn="0" w:firstRowLastColumn="0" w:lastRowFirstColumn="0" w:lastRowLastColumn="0"/>
            <w:tcW w:w="652" w:type="dxa"/>
            <w:tcBorders>
              <w:top w:val="nil"/>
              <w:left w:val="nil"/>
              <w:bottom w:val="single" w:sz="4" w:space="0" w:color="F79646" w:themeColor="accent6"/>
              <w:right w:val="nil"/>
            </w:tcBorders>
            <w:hideMark/>
          </w:tcPr>
          <w:p w14:paraId="316A1AC9" w14:textId="77777777" w:rsidR="00D406F9" w:rsidRPr="00D406F9" w:rsidRDefault="00D406F9" w:rsidP="007E797E">
            <w:pPr>
              <w:jc w:val="center"/>
              <w:rPr>
                <w:rFonts w:ascii="Times New Roman" w:hAnsi="Times New Roman"/>
                <w:b w:val="0"/>
                <w:color w:val="000000" w:themeColor="text1"/>
              </w:rPr>
            </w:pPr>
            <w:r w:rsidRPr="00D406F9">
              <w:rPr>
                <w:rFonts w:ascii="Times New Roman" w:hAnsi="Times New Roman"/>
                <w:b w:val="0"/>
                <w:color w:val="000000" w:themeColor="text1"/>
              </w:rPr>
              <w:t>9</w:t>
            </w:r>
          </w:p>
        </w:tc>
        <w:tc>
          <w:tcPr>
            <w:tcW w:w="2610" w:type="dxa"/>
            <w:tcBorders>
              <w:top w:val="nil"/>
              <w:left w:val="nil"/>
              <w:bottom w:val="single" w:sz="4" w:space="0" w:color="F79646" w:themeColor="accent6"/>
              <w:right w:val="nil"/>
            </w:tcBorders>
            <w:hideMark/>
          </w:tcPr>
          <w:p w14:paraId="4E9270ED" w14:textId="77777777" w:rsidR="00D406F9" w:rsidRPr="00D406F9" w:rsidRDefault="00D406F9"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Administrasi</w:t>
            </w:r>
          </w:p>
        </w:tc>
        <w:tc>
          <w:tcPr>
            <w:tcW w:w="1468" w:type="dxa"/>
            <w:tcBorders>
              <w:top w:val="nil"/>
              <w:left w:val="nil"/>
              <w:bottom w:val="single" w:sz="4" w:space="0" w:color="F79646" w:themeColor="accent6"/>
              <w:right w:val="nil"/>
            </w:tcBorders>
            <w:hideMark/>
          </w:tcPr>
          <w:p w14:paraId="6303211E"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5</w:t>
            </w:r>
          </w:p>
        </w:tc>
        <w:tc>
          <w:tcPr>
            <w:tcW w:w="1305" w:type="dxa"/>
            <w:tcBorders>
              <w:top w:val="nil"/>
              <w:left w:val="nil"/>
              <w:bottom w:val="single" w:sz="4" w:space="0" w:color="F79646" w:themeColor="accent6"/>
              <w:right w:val="nil"/>
            </w:tcBorders>
            <w:hideMark/>
          </w:tcPr>
          <w:p w14:paraId="0A1A60C1"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5</w:t>
            </w:r>
          </w:p>
        </w:tc>
        <w:tc>
          <w:tcPr>
            <w:tcW w:w="1468" w:type="dxa"/>
            <w:tcBorders>
              <w:top w:val="nil"/>
              <w:left w:val="nil"/>
              <w:bottom w:val="single" w:sz="4" w:space="0" w:color="F79646" w:themeColor="accent6"/>
              <w:right w:val="nil"/>
            </w:tcBorders>
            <w:hideMark/>
          </w:tcPr>
          <w:p w14:paraId="30FE9253"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100</w:t>
            </w:r>
          </w:p>
        </w:tc>
        <w:tc>
          <w:tcPr>
            <w:tcW w:w="1631" w:type="dxa"/>
            <w:tcBorders>
              <w:top w:val="nil"/>
              <w:left w:val="nil"/>
              <w:bottom w:val="single" w:sz="4" w:space="0" w:color="F79646" w:themeColor="accent6"/>
              <w:right w:val="nil"/>
            </w:tcBorders>
            <w:hideMark/>
          </w:tcPr>
          <w:p w14:paraId="31403532" w14:textId="77777777" w:rsidR="00D406F9" w:rsidRPr="00D406F9" w:rsidRDefault="00D406F9"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D406F9">
              <w:rPr>
                <w:rFonts w:ascii="Times New Roman" w:hAnsi="Times New Roman"/>
                <w:bCs/>
                <w:color w:val="000000" w:themeColor="text1"/>
              </w:rPr>
              <w:t>Sangat Baik</w:t>
            </w:r>
          </w:p>
        </w:tc>
      </w:tr>
    </w:tbl>
    <w:p w14:paraId="356A691E" w14:textId="0E476542" w:rsidR="00D01695" w:rsidRDefault="00D01695" w:rsidP="00D406F9">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749F03EC" w14:textId="77777777" w:rsidR="00D406F9" w:rsidRPr="00D406F9" w:rsidRDefault="00D406F9" w:rsidP="00D406F9">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D406F9">
        <w:rPr>
          <w:rFonts w:ascii="Times New Roman" w:eastAsia="Times New Roman" w:hAnsi="Times New Roman" w:cs="Times New Roman"/>
          <w:b/>
          <w:bCs/>
          <w:color w:val="000000"/>
          <w:lang w:val="en-US"/>
        </w:rPr>
        <w:tab/>
      </w:r>
      <w:r w:rsidRPr="00D406F9">
        <w:rPr>
          <w:rFonts w:ascii="Times New Roman" w:eastAsia="Times New Roman" w:hAnsi="Times New Roman" w:cs="Times New Roman"/>
          <w:color w:val="000000"/>
          <w:lang w:val="en-US"/>
        </w:rPr>
        <w:t xml:space="preserve">Pada tabel. 2 menunjukkan bahwa ke 9 aspek pelayanan kefarmasian pada pengelolaan sedian farmasi, alat kesehatan dan BMHP telah dilakukan sesuai dengan standar pelayanan kefarmasian pada Permenkes No.72 tahun 2016 namun belum maksimal. Hal ini terlihat dari prosentase kesesuai dari masing-masing aspek pelayanan yang kesemuanya belum mencapai nilai 100% atau kategori sangat baik. Dari ke 9 aspek penilaian 2 diantaranya memperoleh nilai persentase kesesuaian dibawah 100% yaitu aspek pengadaan dengan nilai persentase kesesuaian sebesar 66% dengan kategori baik dan aspek pendistribusian sebesar 75% dengan kategori baik. </w:t>
      </w:r>
    </w:p>
    <w:p w14:paraId="13666AC0" w14:textId="77777777" w:rsidR="00D406F9" w:rsidRPr="00D406F9" w:rsidRDefault="00D406F9" w:rsidP="00D406F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US"/>
        </w:rPr>
      </w:pPr>
      <w:r w:rsidRPr="00D406F9">
        <w:rPr>
          <w:rFonts w:ascii="Times New Roman" w:eastAsia="Times New Roman" w:hAnsi="Times New Roman" w:cs="Times New Roman"/>
          <w:color w:val="000000"/>
          <w:lang w:val="en-US"/>
        </w:rPr>
        <w:t xml:space="preserve">Tahap pengadaan merupakan proses kegiatan berkesinambungan yang dilakukan oleh manajemen rumah sakit guna menjaga stok sedian farmasi, alkes dan BMHP terkendali </w:t>
      </w:r>
      <w:r w:rsidRPr="00D406F9">
        <w:rPr>
          <w:rFonts w:ascii="Times New Roman" w:eastAsia="Times New Roman" w:hAnsi="Times New Roman" w:cs="Times New Roman"/>
          <w:color w:val="000000"/>
          <w:lang w:val="en-US"/>
        </w:rPr>
        <w:fldChar w:fldCharType="begin" w:fldLock="1"/>
      </w:r>
      <w:r w:rsidRPr="00D406F9">
        <w:rPr>
          <w:rFonts w:ascii="Times New Roman" w:eastAsia="Times New Roman" w:hAnsi="Times New Roman" w:cs="Times New Roman"/>
          <w:color w:val="000000"/>
          <w:lang w:val="en-US"/>
        </w:rPr>
        <w:instrText>ADDIN CSL_CITATION {"citationItems":[{"id":"ITEM-1","itemData":{"DOI":"https://doi.org/10.14710/jkm.v8i2.26293","abstract":"Procurement is part of the management of the drug which is very devoted to the supply of drugs and the costs incurred by the hospital. This study discusses the procurement of drugs in the National Health Insurance service in Roemani Muhammadiyah Hospital Semarang. This research is qualitative research with descriptive research supported by secondary data with retrospectives and primary data with in-depth interviews. Procurement is done by electronic purchase via e-catalog and manual which is done twice a week. The process of drug procurement has not gone well because the long-standing response from the supplier, the drug is not available in the e-catalog, the old system is loaded, the related product in the e-catalog is empty, information about the system is not expected to occur, delays in sending drugs, and sending invoices that leave tempo by the counterparty who can request a delay in payment by the hospital. The result showed that drug management had not been fully in accordance with the criteria. It was indicated from 5 measured indicators, two of them had been in accordance with the criteria which was the percentage of the available fund compared with cost planned and the procurement frequency of each drug item. The other 3 indicators had not been in accordance with the criteria which were frequency uncompleted of order list/contract, frequency of delayed rate in payment by the hospital, and percentage of the amount of drug taken with the approved","author":[{"dropping-particle":"","family":"Karimah","given":"Chotijah","non-dropping-particle":"","parse-names":false,"suffix":""},{"dropping-particle":"","family":"Arso","given":"Septo Pawelas","non-dropping-particle":"","parse-names":false,"suffix":""},{"dropping-particle":"","family":"Kusumastuti","given":"Wulan","non-dropping-particle":"","parse-names":false,"suffix":""}],"container-title":"Jurnal Kesehatan Masyarakat","id":"ITEM-1","issue":"2","issued":{"date-parts":[["2020"]]},"page":"182-187","title":"Analisis pengelolaan obat pada tahap pengadaan di rumah sakit roemani muhammadiyah semarang","type":"article-journal","volume":"8"},"uris":["http://www.mendeley.com/documents/?uuid=9e59dfa8-c282-49f5-ac63-28f9f104b467"]}],"mendeley":{"formattedCitation":"(Karimah et al., 2020)","plainTextFormattedCitation":"(Karimah et al., 2020)","previouslyFormattedCitation":"(Karimah et al., 2020)"},"properties":{"noteIndex":0},"schema":"https://github.com/citation-style-language/schema/raw/master/csl-citation.json"}</w:instrText>
      </w:r>
      <w:r w:rsidRPr="00D406F9">
        <w:rPr>
          <w:rFonts w:ascii="Times New Roman" w:eastAsia="Times New Roman" w:hAnsi="Times New Roman" w:cs="Times New Roman"/>
          <w:color w:val="000000"/>
          <w:lang w:val="en-US"/>
        </w:rPr>
        <w:fldChar w:fldCharType="separate"/>
      </w:r>
      <w:r w:rsidRPr="00D406F9">
        <w:rPr>
          <w:rFonts w:ascii="Times New Roman" w:eastAsia="Times New Roman" w:hAnsi="Times New Roman" w:cs="Times New Roman"/>
          <w:color w:val="000000"/>
          <w:lang w:val="en-US"/>
        </w:rPr>
        <w:t>(Karimah et al., 2020)</w:t>
      </w:r>
      <w:r w:rsidRPr="00D406F9">
        <w:rPr>
          <w:rFonts w:ascii="Times New Roman" w:eastAsia="Times New Roman" w:hAnsi="Times New Roman" w:cs="Times New Roman"/>
          <w:color w:val="000000"/>
        </w:rPr>
        <w:fldChar w:fldCharType="end"/>
      </w:r>
      <w:r w:rsidRPr="00D406F9">
        <w:rPr>
          <w:rFonts w:ascii="Times New Roman" w:eastAsia="Times New Roman" w:hAnsi="Times New Roman" w:cs="Times New Roman"/>
          <w:color w:val="000000"/>
          <w:lang w:val="en-US"/>
        </w:rPr>
        <w:t xml:space="preserve">. Ketidakmaksimalan pada proses pengadaan disebabkan oleh tidak adanya sertifikat analisa pada bahan baku obat. Ketidak lengkapan adminstrasi ini disebabkan oleh prosedur tahap pengadaan dilakukan dengan menggunakan mekanisme pelaporan menggunakan Laporan Pemakaian dan Lembar Permintaan Obat (LPLPO) yang diajuakan ke Instalasi Farmasi Dinas Kesehatan setiap bulannya menggunakan anggaran pemerintah. Sehingga pihak RS tidak secara langsung melakukan proses pembelian. Hal ini sejalan dengan penelitian yang dilakukan oleh </w:t>
      </w:r>
      <w:r w:rsidRPr="00D406F9">
        <w:rPr>
          <w:rFonts w:ascii="Times New Roman" w:eastAsia="Times New Roman" w:hAnsi="Times New Roman" w:cs="Times New Roman"/>
          <w:color w:val="000000"/>
          <w:lang w:val="en-US"/>
        </w:rPr>
        <w:fldChar w:fldCharType="begin" w:fldLock="1"/>
      </w:r>
      <w:r w:rsidRPr="00D406F9">
        <w:rPr>
          <w:rFonts w:ascii="Times New Roman" w:eastAsia="Times New Roman" w:hAnsi="Times New Roman" w:cs="Times New Roman"/>
          <w:color w:val="000000"/>
          <w:lang w:val="en-US"/>
        </w:rPr>
        <w:instrText>ADDIN CSL_CITATION {"citationItems":[{"id":"ITEM-1","itemData":{"DOI":"https://doi.org/10.31004/jkt.v4i2.16132","abstract":"Hospital according to WHO (World Health Organization) is an integral part of a social and medical organization, which functions to provide complete health services both curative and preventive to the community. Hospital Pharmacy Installations have an important role to carry out drug management such as selection, planning, procurement, storage, distribution and drug use. This research is a type of observational research using qualitative methods which aims to obtain complete and in-depth information about the implementation of Permenkes Number 72 of 2016 on drug planning, procurement and control in the Pharmacy Installation of the North Sulawesi Regional General Hospital. This research was carried out at the Home Pharmacy Installation. Regional General Hospital of North Sulawesi Province in January -May 2023. Procurement of drugs at the Regional General Hospital of North Sulawesi Province, is carried out by order letter (SP) to a large pharmaceutical company (PBF) through coordination with the health office. Drug control refers to the Republic of Indonesia Minister of Health No. 72 of 2016 concerning Pharmaceutical Service Standards in Hospitals. Drug control is carried out using the Stock Taking method, KFT plays a role in controlling both the quantity and quality of drugs, but there are still several expired drug items","author":[{"dropping-particle":"","family":"Kumayas","given":"Feybe Ireine","non-dropping-particle":"","parse-names":false,"suffix":""},{"dropping-particle":"","family":"Fatimawali","given":"","non-dropping-particle":"","parse-names":false,"suffix":""},{"dropping-particle":"","family":"Jimmy","given":"Posangi","non-dropping-particle":"","parse-names":false,"suffix":""}],"container-title":"Jurnal Kesehatan Tambusai","id":"ITEM-1","issue":"2","issued":{"date-parts":[["2023"]]},"title":"EVALUASI IMPLEMENTASI PERMENKES NOMOR 72 TAHUN 2016 TERHADAP MANAJEMEN PERENCANAAN, PENGADAAN DAN PENGENDALIAN OBAT DI INSTALASI FARMASI RUMAH SAKIT UMUM DAERAH PROVINSI SULAWESI UTARA.pdf","type":"article-journal","volume":"4"},"uris":["http://www.mendeley.com/documents/?uuid=a4344e97-bff1-4404-b1c9-7002c07751cb"]}],"mendeley":{"formattedCitation":"(Kumayas et al., 2023)","plainTextFormattedCitation":"(Kumayas et al., 2023)","previouslyFormattedCitation":"(Kumayas et al., 2023)"},"properties":{"noteIndex":0},"schema":"https://github.com/citation-style-language/schema/raw/master/csl-citation.json"}</w:instrText>
      </w:r>
      <w:r w:rsidRPr="00D406F9">
        <w:rPr>
          <w:rFonts w:ascii="Times New Roman" w:eastAsia="Times New Roman" w:hAnsi="Times New Roman" w:cs="Times New Roman"/>
          <w:color w:val="000000"/>
          <w:lang w:val="en-US"/>
        </w:rPr>
        <w:fldChar w:fldCharType="separate"/>
      </w:r>
      <w:r w:rsidRPr="00D406F9">
        <w:rPr>
          <w:rFonts w:ascii="Times New Roman" w:eastAsia="Times New Roman" w:hAnsi="Times New Roman" w:cs="Times New Roman"/>
          <w:color w:val="000000"/>
          <w:lang w:val="en-US"/>
        </w:rPr>
        <w:t>(Kumayas et al., 2023)</w:t>
      </w:r>
      <w:r w:rsidRPr="00D406F9">
        <w:rPr>
          <w:rFonts w:ascii="Times New Roman" w:eastAsia="Times New Roman" w:hAnsi="Times New Roman" w:cs="Times New Roman"/>
          <w:color w:val="000000"/>
        </w:rPr>
        <w:fldChar w:fldCharType="end"/>
      </w:r>
      <w:r w:rsidRPr="00D406F9">
        <w:rPr>
          <w:rFonts w:ascii="Times New Roman" w:eastAsia="Times New Roman" w:hAnsi="Times New Roman" w:cs="Times New Roman"/>
          <w:color w:val="000000"/>
          <w:lang w:val="en-US"/>
        </w:rPr>
        <w:t xml:space="preserve"> yang menyatakan bahwa proses pengadaan di suatu RS memiliki banyak kendala yang menyebabkan tahap pengadaan tidak berjalan dengan maksimal. </w:t>
      </w:r>
    </w:p>
    <w:p w14:paraId="2445FC72" w14:textId="4423686A" w:rsidR="00D406F9" w:rsidRDefault="00D406F9" w:rsidP="00D406F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US"/>
        </w:rPr>
      </w:pPr>
      <w:r w:rsidRPr="00D406F9">
        <w:rPr>
          <w:rFonts w:ascii="Times New Roman" w:eastAsia="Times New Roman" w:hAnsi="Times New Roman" w:cs="Times New Roman"/>
          <w:color w:val="000000"/>
          <w:lang w:val="en-US"/>
        </w:rPr>
        <w:t>Tahap distribusi Merupakan rangkaian kegiatan penyerahan/pemindahan obat, alat kesehatan, dan BMHP dari gudang ke unit pelayanan/pasien dengan tetap menjamin mutu, kestabilan, jenis, kuantitas, dan ketepatan  waktu</w:t>
      </w:r>
      <w:r>
        <w:rPr>
          <w:rFonts w:ascii="Times New Roman" w:eastAsia="Times New Roman" w:hAnsi="Times New Roman" w:cs="Times New Roman"/>
          <w:color w:val="000000"/>
          <w:lang w:val="en-US"/>
        </w:rPr>
        <w:t xml:space="preserve"> </w:t>
      </w:r>
      <w:r w:rsidRPr="00D406F9">
        <w:rPr>
          <w:rFonts w:ascii="Times New Roman" w:eastAsia="Times New Roman" w:hAnsi="Times New Roman" w:cs="Times New Roman"/>
          <w:color w:val="000000"/>
          <w:lang w:val="en-US"/>
        </w:rPr>
        <w:fldChar w:fldCharType="begin" w:fldLock="1"/>
      </w:r>
      <w:r w:rsidRPr="00D406F9">
        <w:rPr>
          <w:rFonts w:ascii="Times New Roman" w:eastAsia="Times New Roman" w:hAnsi="Times New Roman" w:cs="Times New Roman"/>
          <w:color w:val="000000"/>
          <w:lang w:val="en-US"/>
        </w:rPr>
        <w:instrText>ADDIN CSL_CITATION {"citationItems":[{"id":"ITEM-1","itemData":{"author":[{"dropping-particle":"","family":"Kemenkes RI","given":"","non-dropping-particle":"","parse-names":false,"suffix":""}],"id":"ITEM-1","issued":{"date-parts":[["2016"]]},"number":"72","publisher-place":"Jakarta, Indonesia","title":"PERMENKES RI No.72 Tahun 2016 TENTANG STANDAR PELAYANAN KEFARMASIAN DI RUMAH SAKIT","type":"article"},"uris":["http://www.mendeley.com/documents/?uuid=016cfa8a-7550-487e-a8fc-79c7be5a14b5"]}],"mendeley":{"formattedCitation":"(Kemenkes RI, 2016)","plainTextFormattedCitation":"(Kemenkes RI, 2016)","previouslyFormattedCitation":"(Kemenkes RI, 2016)"},"properties":{"noteIndex":0},"schema":"https://github.com/citation-style-language/schema/raw/master/csl-citation.json"}</w:instrText>
      </w:r>
      <w:r w:rsidRPr="00D406F9">
        <w:rPr>
          <w:rFonts w:ascii="Times New Roman" w:eastAsia="Times New Roman" w:hAnsi="Times New Roman" w:cs="Times New Roman"/>
          <w:color w:val="000000"/>
          <w:lang w:val="en-US"/>
        </w:rPr>
        <w:fldChar w:fldCharType="separate"/>
      </w:r>
      <w:r w:rsidRPr="00D406F9">
        <w:rPr>
          <w:rFonts w:ascii="Times New Roman" w:eastAsia="Times New Roman" w:hAnsi="Times New Roman" w:cs="Times New Roman"/>
          <w:color w:val="000000"/>
          <w:lang w:val="en-US"/>
        </w:rPr>
        <w:t>(Kemenkes RI, 2016)</w:t>
      </w:r>
      <w:r w:rsidRPr="00D406F9">
        <w:rPr>
          <w:rFonts w:ascii="Times New Roman" w:eastAsia="Times New Roman" w:hAnsi="Times New Roman" w:cs="Times New Roman"/>
          <w:color w:val="000000"/>
          <w:lang w:val="en-US"/>
        </w:rPr>
        <w:fldChar w:fldCharType="end"/>
      </w:r>
      <w:r w:rsidRPr="00D406F9">
        <w:rPr>
          <w:rFonts w:ascii="Times New Roman" w:eastAsia="Times New Roman" w:hAnsi="Times New Roman" w:cs="Times New Roman"/>
          <w:color w:val="000000"/>
          <w:lang w:val="en-US"/>
        </w:rPr>
        <w:t xml:space="preserve">. Sama halnya dengan asek pengadaan, aspek distribusi pada pelayanan farmasi di RSUD pun telah memenuhi standar yang telah ditetapkan pada Permenkes No.72 tahun 2016, namun pelaksanaannya masih belum maksimal dengan nilai kesesuaian 75 % kategori baik. Ketidakmaksimalan tahap ini terjadi karena di RSUD tidak menggunakan mekanisme distribusi menggunakan sistem kombinasi sesuai dengan anjuran Permenkes RI No.72 tahun 2016. Pendistribusian sediaan farmasi, alkes dan BMHP di RSUD menggunakan metode sentralisasi namun pada sistem pendistribusian menggunakan sistem unit dose dimana obat dan perbekalan farmasi diberikan untuk satu kali pemakaian dalam sehari. Sisem kombinasi dianggap lebih efektif dan efisien dengan mempertimbangkan efektifitas dan sumber daya yang ada </w:t>
      </w:r>
      <w:r w:rsidRPr="00D406F9">
        <w:rPr>
          <w:rFonts w:ascii="Times New Roman" w:eastAsia="Times New Roman" w:hAnsi="Times New Roman" w:cs="Times New Roman"/>
          <w:color w:val="000000"/>
          <w:lang w:val="en-US"/>
        </w:rPr>
        <w:fldChar w:fldCharType="begin" w:fldLock="1"/>
      </w:r>
      <w:r w:rsidRPr="00D406F9">
        <w:rPr>
          <w:rFonts w:ascii="Times New Roman" w:eastAsia="Times New Roman" w:hAnsi="Times New Roman" w:cs="Times New Roman"/>
          <w:color w:val="000000"/>
          <w:lang w:val="en-US"/>
        </w:rPr>
        <w:instrText>ADDIN CSL_CITATION {"citationItems":[{"id":"ITEM-1","itemData":{"DOI":"10.33024/jfm.v4i2.5315","ISSN":"2599-1868","abstract":"Penyimpanan obat yang tidak baik dapat menyebabkan kerusakan obat serta kerugian pada rumah sakit, sehingga obat harus disimpan dengan baik agar tetap terjaga sampai obat didistribusikan ke pasien. Distribusi obat mencakup penghantaran sediaan obat yang telah disediakan instalasi farmasi ke pasien dengan keamanan dan ketepatan obat. Penelitian ini bertujuan untuk mengevaluasi penyimpanan dan pendistribusian obat di Instalasi Farmasi Rumah Sakit Mutiara Bunda Tulang Bawang menggunakan metode observasional yang bersifat deskriptif dan evaluasi dengan teknik pengumpulan data menggunakan daftar tilik dan wawancara. Hasil penelitian menunjukkan bahwa Instalasi Farmasi Rumah Sakit Mutiara Bunda Tulang Bawang dalam menerapkan prosedur penyimpanan dan pendistribusian obat sebagian besar sudah sesuai dengan Peraturan Menteri Kesehatan Republik Indonesia Nomor 72 Tahun 2016. Berdasarkan indikator penyimpanan didapatkan persentase kesesuaian barang dengan kartu stok adalah 100% sesuai, stok mati 0,83%, persentase obat kadaluarsa 0,76% dan sistem penyimpanan yang digunakan adalah secara alfabetis, FEFO dan FIFO. Pendistribusian obat menggunakan metode sentralisasi, sehingga semua obat-obatan dan alat kesehatan dilayani langsung dari Instalasi Farmasi dan sistem pendistribusiannya menggunakan sistem unit dosis.","author":[{"dropping-particle":"","family":"Primadiamanti","given":"Annisa","non-dropping-particle":"","parse-names":false,"suffix":""},{"dropping-particle":"","family":"Saputri","given":"Gusti Ayu Rai","non-dropping-particle":"","parse-names":false,"suffix":""},{"dropping-particle":"","family":"Sari","given":"Destri Lina","non-dropping-particle":"","parse-names":false,"suffix":""}],"container-title":"Jurnal Farmasi Malahayati","id":"ITEM-1","issue":"2","issued":{"date-parts":[["2022"]]},"page":"205-215","title":"Evaluasi Penyimpanan Dan Pendistribusian Obat Di Instalasi Farmasi Rumah Sakit Mutiara Bunda Tulang Bawang","type":"article-journal","volume":"4"},"uris":["http://www.mendeley.com/documents/?uuid=a7cf549b-434d-4372-9c9a-a812fad64593"]}],"mendeley":{"formattedCitation":"(Primadiamanti et al., 2022)","plainTextFormattedCitation":"(Primadiamanti et al., 2022)","previouslyFormattedCitation":"(Primadiamanti et al., 2022)"},"properties":{"noteIndex":0},"schema":"https://github.com/citation-style-language/schema/raw/master/csl-citation.json"}</w:instrText>
      </w:r>
      <w:r w:rsidRPr="00D406F9">
        <w:rPr>
          <w:rFonts w:ascii="Times New Roman" w:eastAsia="Times New Roman" w:hAnsi="Times New Roman" w:cs="Times New Roman"/>
          <w:color w:val="000000"/>
          <w:lang w:val="en-US"/>
        </w:rPr>
        <w:fldChar w:fldCharType="separate"/>
      </w:r>
      <w:r w:rsidRPr="00D406F9">
        <w:rPr>
          <w:rFonts w:ascii="Times New Roman" w:eastAsia="Times New Roman" w:hAnsi="Times New Roman" w:cs="Times New Roman"/>
          <w:color w:val="000000"/>
          <w:lang w:val="en-US"/>
        </w:rPr>
        <w:t>(Primadiamanti et al., 2022)</w:t>
      </w:r>
      <w:r w:rsidRPr="00D406F9">
        <w:rPr>
          <w:rFonts w:ascii="Times New Roman" w:eastAsia="Times New Roman" w:hAnsi="Times New Roman" w:cs="Times New Roman"/>
          <w:color w:val="000000"/>
          <w:lang w:val="en-US"/>
        </w:rPr>
        <w:fldChar w:fldCharType="end"/>
      </w:r>
      <w:r w:rsidRPr="00D406F9">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p>
    <w:p w14:paraId="02786EBC" w14:textId="77777777" w:rsidR="00D406F9" w:rsidRDefault="00D406F9" w:rsidP="00940726">
      <w:pPr>
        <w:numPr>
          <w:ilvl w:val="0"/>
          <w:numId w:val="6"/>
        </w:numPr>
        <w:pBdr>
          <w:top w:val="nil"/>
          <w:left w:val="nil"/>
          <w:bottom w:val="nil"/>
          <w:right w:val="nil"/>
          <w:between w:val="nil"/>
        </w:pBdr>
        <w:spacing w:after="0" w:line="360" w:lineRule="auto"/>
        <w:ind w:left="567" w:hanging="567"/>
        <w:jc w:val="both"/>
        <w:rPr>
          <w:rFonts w:ascii="Times New Roman" w:eastAsia="Times New Roman" w:hAnsi="Times New Roman" w:cs="Times New Roman"/>
          <w:b/>
          <w:bCs/>
          <w:color w:val="000000"/>
          <w:lang w:val="en-US"/>
        </w:rPr>
      </w:pPr>
      <w:r w:rsidRPr="00D406F9">
        <w:rPr>
          <w:rFonts w:ascii="Times New Roman" w:eastAsia="Times New Roman" w:hAnsi="Times New Roman" w:cs="Times New Roman"/>
          <w:b/>
          <w:color w:val="000000"/>
          <w:lang w:val="en-US"/>
        </w:rPr>
        <w:t>Gambaran Penerapan Standar Pelayanan Kefarmasian Pengelolaan Sediaan Farmasi, Alkes dan</w:t>
      </w:r>
      <w:r w:rsidRPr="00D406F9">
        <w:rPr>
          <w:rFonts w:ascii="Times New Roman" w:eastAsia="Times New Roman" w:hAnsi="Times New Roman" w:cs="Times New Roman"/>
          <w:b/>
          <w:bCs/>
          <w:color w:val="000000"/>
          <w:lang w:val="en-US"/>
        </w:rPr>
        <w:t xml:space="preserve"> BMHP di RSUD Praya Kabupaten Lombok Tengah.</w:t>
      </w:r>
    </w:p>
    <w:p w14:paraId="0EEDAAF9" w14:textId="4EC4BA3E" w:rsidR="00D406F9" w:rsidRDefault="00D406F9" w:rsidP="00D406F9">
      <w:pPr>
        <w:pBdr>
          <w:top w:val="nil"/>
          <w:left w:val="nil"/>
          <w:bottom w:val="nil"/>
          <w:right w:val="nil"/>
          <w:between w:val="nil"/>
        </w:pBdr>
        <w:spacing w:after="0" w:line="360" w:lineRule="auto"/>
        <w:jc w:val="both"/>
        <w:rPr>
          <w:rFonts w:ascii="Times New Roman" w:eastAsia="Times New Roman" w:hAnsi="Times New Roman" w:cs="Times New Roman"/>
          <w:b/>
          <w:bCs/>
          <w:color w:val="000000"/>
          <w:lang w:val="en-US"/>
        </w:rPr>
      </w:pPr>
      <w:r>
        <w:rPr>
          <w:noProof/>
          <w:lang w:val="en-US"/>
        </w:rPr>
        <w:lastRenderedPageBreak/>
        <w:drawing>
          <wp:inline distT="0" distB="0" distL="0" distR="0" wp14:anchorId="6C29C7AB" wp14:editId="19DDE196">
            <wp:extent cx="4917057" cy="2130725"/>
            <wp:effectExtent l="0" t="0" r="17145" b="3175"/>
            <wp:docPr id="928431581" name="Chart 92843158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BC4D87-28C7-05A8-2D26-D5176BB75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684344" w14:textId="77777777" w:rsidR="008F230A" w:rsidRDefault="00D406F9"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D406F9">
        <w:rPr>
          <w:rFonts w:ascii="Times New Roman" w:eastAsia="Times New Roman" w:hAnsi="Times New Roman" w:cs="Times New Roman"/>
          <w:color w:val="000000"/>
          <w:lang w:val="en-US"/>
        </w:rPr>
        <w:t>Pada Gambar 1. menunjukkan bahwa prosentase penerapan pelaksanaan standar pelayanan farmasi berdasarkan Permenkes No.72 tahun 2016 di RSUD Praya Kabupaten Lombok Tengah sebesar</w:t>
      </w:r>
      <w:r>
        <w:rPr>
          <w:rFonts w:ascii="Times New Roman" w:eastAsia="Times New Roman" w:hAnsi="Times New Roman" w:cs="Times New Roman"/>
          <w:color w:val="000000"/>
          <w:lang w:val="en-US"/>
        </w:rPr>
        <w:t xml:space="preserve"> </w:t>
      </w:r>
      <w:r w:rsidR="008F230A" w:rsidRPr="008F230A">
        <w:rPr>
          <w:rFonts w:ascii="Times New Roman" w:eastAsia="Times New Roman" w:hAnsi="Times New Roman" w:cs="Times New Roman"/>
          <w:color w:val="000000"/>
          <w:lang w:val="en-US"/>
        </w:rPr>
        <w:t xml:space="preserve">78% sudah berjalan maksimal dan sebanyak 22% belum maksimal. Farmasis memiliki peran penting dalam menjaga suplai pasok sediaan farmasi, untuk itu seorang farmasi dituntut memiliki kemampuan dalam pengelolaan perbekalan farmasi </w:t>
      </w:r>
      <w:r w:rsidR="008F230A" w:rsidRPr="008F230A">
        <w:rPr>
          <w:rFonts w:ascii="Times New Roman" w:eastAsia="Times New Roman" w:hAnsi="Times New Roman" w:cs="Times New Roman"/>
          <w:color w:val="000000"/>
          <w:lang w:val="en-US"/>
        </w:rPr>
        <w:fldChar w:fldCharType="begin" w:fldLock="1"/>
      </w:r>
      <w:r w:rsidR="008F230A" w:rsidRPr="008F230A">
        <w:rPr>
          <w:rFonts w:ascii="Times New Roman" w:eastAsia="Times New Roman" w:hAnsi="Times New Roman" w:cs="Times New Roman"/>
          <w:color w:val="000000"/>
          <w:lang w:val="en-US"/>
        </w:rPr>
        <w:instrText>ADDIN CSL_CITATION {"citationItems":[{"id":"ITEM-1","itemData":{"author":[{"dropping-particle":"","family":"Type","given":"Item","non-dropping-particle":"","parse-names":false,"suffix":""},{"dropping-particle":"","family":"Emilia","given":"V","non-dropping-particle":"","parse-names":false,"suffix":""}],"container-title":"University of Bradford","id":"ITEM-1","issued":{"date-parts":[["2018"]]},"title":"An assessment of supply chain vulnerabilities to dynamic disruptions in the pharmaceutical supply chain","type":"article-journal"},"uris":["http://www.mendeley.com/documents/?uuid=09d207e1-8ec9-4486-956b-8dc5350b4f5c"]}],"mendeley":{"formattedCitation":"(Type &amp; Emilia, 2018)","plainTextFormattedCitation":"(Type &amp; Emilia, 2018)","previouslyFormattedCitation":"(Type &amp; Emilia, 2018)"},"properties":{"noteIndex":0},"schema":"https://github.com/citation-style-language/schema/raw/master/csl-citation.json"}</w:instrText>
      </w:r>
      <w:r w:rsidR="008F230A" w:rsidRPr="008F230A">
        <w:rPr>
          <w:rFonts w:ascii="Times New Roman" w:eastAsia="Times New Roman" w:hAnsi="Times New Roman" w:cs="Times New Roman"/>
          <w:color w:val="000000"/>
          <w:lang w:val="en-US"/>
        </w:rPr>
        <w:fldChar w:fldCharType="separate"/>
      </w:r>
      <w:r w:rsidR="008F230A" w:rsidRPr="008F230A">
        <w:rPr>
          <w:rFonts w:ascii="Times New Roman" w:eastAsia="Times New Roman" w:hAnsi="Times New Roman" w:cs="Times New Roman"/>
          <w:color w:val="000000"/>
          <w:lang w:val="en-US"/>
        </w:rPr>
        <w:t>(Type &amp; Emilia, 2018)</w:t>
      </w:r>
      <w:r w:rsidR="008F230A" w:rsidRPr="008F230A">
        <w:rPr>
          <w:rFonts w:ascii="Times New Roman" w:eastAsia="Times New Roman" w:hAnsi="Times New Roman" w:cs="Times New Roman"/>
          <w:color w:val="000000"/>
          <w:lang w:val="en-US"/>
        </w:rPr>
        <w:fldChar w:fldCharType="end"/>
      </w:r>
      <w:r w:rsidR="008F230A" w:rsidRPr="008F230A">
        <w:rPr>
          <w:rFonts w:ascii="Times New Roman" w:eastAsia="Times New Roman" w:hAnsi="Times New Roman" w:cs="Times New Roman"/>
          <w:color w:val="000000"/>
          <w:lang w:val="en-US"/>
        </w:rPr>
        <w:t xml:space="preserve">. Pada tujuh pelayanan seperti pemilihan, perencanaan, penerimaan, penyimpanan, pemusnahan, pengendalian dan administrasi nilai persentase kesesuaian yang diperoleh sebesar 100%  dengan kategori sangat baik sedangkan 2 tahapan proses diperoleh nilai sebesar 66% dan 75% dengan kategori baik (Tabel 1.). Hal ini sejalan dengan penelitian Sidrotullah yang menyatakan bahwa pelayanan farmasi di rumah sakit tipe C di daerah Nusa Tenggara Barat Belum terlaksana dengan baik </w:t>
      </w:r>
      <w:r w:rsidR="008F230A" w:rsidRPr="008F230A">
        <w:rPr>
          <w:rFonts w:ascii="Times New Roman" w:eastAsia="Times New Roman" w:hAnsi="Times New Roman" w:cs="Times New Roman"/>
          <w:color w:val="000000"/>
          <w:lang w:val="en-US"/>
        </w:rPr>
        <w:fldChar w:fldCharType="begin" w:fldLock="1"/>
      </w:r>
      <w:r w:rsidR="008F230A" w:rsidRPr="008F230A">
        <w:rPr>
          <w:rFonts w:ascii="Times New Roman" w:eastAsia="Times New Roman" w:hAnsi="Times New Roman" w:cs="Times New Roman"/>
          <w:color w:val="000000"/>
          <w:lang w:val="en-US"/>
        </w:rPr>
        <w:instrText>ADDIN CSL_CITATION {"citationItems":[{"id":"ITEM-1","itemData":{"DOI":"https://doi.org/10.37311/jsscr.v2i1.4514","abstract":"Instalasi Farmasi sebagai tempat pengabdian profesi di rumah sakit dan salah satu unit pelayanan utama rumah sakit mempunyai peran dan fungsi yang sangat penting dalam menunjang pelayanan kesehatan yang bermutu. Salah satu usaha untuk meningkatkan mutu pelayanan instalasi farmasi dapat dilakukan dengan melaksanakan standar pelayanan farmasi rumah sakit. Penelitian ini bertujuan untuk mengetahui gambaran Pelaksanaan Standar Pelayanan Kefarmasian di Rumah Sakit Umum Daerah Kelas C di Propinsi Nusa Tenggara Barat, serta faktor pendukung atau penghambat dalam pelaksanaan. Penelitian ini merupakan penelitian deskriptif. Penelitian dilakukan di 3 Rumah Sakit Umum Daerah Kelas C di Propinsi Nusa Tenggara Barat. Pengumpulan data dilakukan menggunakan pedoman wawancara pelaksanaan standar pelayanan farmasi rumah sakit. Penilaian meliputi tujuh standar yang terbagi dalam dua puluh tiga parameter. Suatu Instalasi Farmasi Rumah Sakit dikatakan telah sesuai dengan standar jika nilai persentase rata-rata pencapaian standar lebih dari 75% sebaliknya jika kurang dari 75% dikatakan tidak sesuai standar. Hasil penelitian menunjukkan bahwa pelaksanaan standar pelayanan kefarmasian di Rumah Sakit Umum Daerah Kelas C di Propinsi Nusa Tenggara Barat belum terlaksana dengan baik, ini dapat dilihat dari hasil yang menunjukkan persentase pencapain standar dari ketiga rumah sakit masih kurang dari 75 %. Persentase pencapain standar dari Rumah Sakit A (52,17%), Rumah Sakit B (54,78%) dan Rumah Sakit C (44,35%).","author":[{"dropping-particle":"","family":"Sidrotullah","given":"M","non-dropping-particle":"","parse-names":false,"suffix":""},{"dropping-particle":"","family":"Pahmi","given":"Khairil","non-dropping-particle":"","parse-names":false,"suffix":""}],"container-title":"Journal Syifa Sciences and Clinical Research","id":"ITEM-1","issue":"1","issued":{"date-parts":[["2020"]]},"page":"21-30","title":"Evaluasi Pelaksanaan Standar Pelayanan Farmasi Di Rumah Sakit Umum Daerah Kelas C di Propinsi Nusa Tenggara Barat","type":"article-journal","volume":"2"},"uris":["http://www.mendeley.com/documents/?uuid=c1503025-12e5-4a75-a4af-75471f55c5bf"]}],"mendeley":{"formattedCitation":"(Sidrotullah &amp; Pahmi, 2020)","plainTextFormattedCitation":"(Sidrotullah &amp; Pahmi, 2020)","previouslyFormattedCitation":"(Sidrotullah &amp; Pahmi, 2020)"},"properties":{"noteIndex":0},"schema":"https://github.com/citation-style-language/schema/raw/master/csl-citation.json"}</w:instrText>
      </w:r>
      <w:r w:rsidR="008F230A" w:rsidRPr="008F230A">
        <w:rPr>
          <w:rFonts w:ascii="Times New Roman" w:eastAsia="Times New Roman" w:hAnsi="Times New Roman" w:cs="Times New Roman"/>
          <w:color w:val="000000"/>
          <w:lang w:val="en-US"/>
        </w:rPr>
        <w:fldChar w:fldCharType="separate"/>
      </w:r>
      <w:r w:rsidR="008F230A" w:rsidRPr="008F230A">
        <w:rPr>
          <w:rFonts w:ascii="Times New Roman" w:eastAsia="Times New Roman" w:hAnsi="Times New Roman" w:cs="Times New Roman"/>
          <w:color w:val="000000"/>
          <w:lang w:val="en-US"/>
        </w:rPr>
        <w:t>(Sidrotullah &amp; Pahmi, 2020)</w:t>
      </w:r>
      <w:r w:rsidR="008F230A" w:rsidRPr="008F230A">
        <w:rPr>
          <w:rFonts w:ascii="Times New Roman" w:eastAsia="Times New Roman" w:hAnsi="Times New Roman" w:cs="Times New Roman"/>
          <w:color w:val="000000"/>
          <w:lang w:val="en-US"/>
        </w:rPr>
        <w:fldChar w:fldCharType="end"/>
      </w:r>
      <w:r w:rsidR="008F230A" w:rsidRPr="008F230A">
        <w:rPr>
          <w:rFonts w:ascii="Times New Roman" w:eastAsia="Times New Roman" w:hAnsi="Times New Roman" w:cs="Times New Roman"/>
          <w:color w:val="000000"/>
          <w:lang w:val="en-US"/>
        </w:rPr>
        <w:t>.</w:t>
      </w:r>
    </w:p>
    <w:p w14:paraId="42B7FB91" w14:textId="77777777" w:rsidR="008F230A" w:rsidRPr="008F230A" w:rsidRDefault="008F230A" w:rsidP="00940726">
      <w:pPr>
        <w:numPr>
          <w:ilvl w:val="0"/>
          <w:numId w:val="5"/>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lang w:val="en-US"/>
        </w:rPr>
      </w:pPr>
      <w:r w:rsidRPr="008F230A">
        <w:rPr>
          <w:rFonts w:ascii="Times New Roman" w:eastAsia="Times New Roman" w:hAnsi="Times New Roman" w:cs="Times New Roman"/>
          <w:b/>
          <w:bCs/>
          <w:color w:val="000000"/>
          <w:lang w:val="en-US"/>
        </w:rPr>
        <w:t>ASPEK FARMASI KLINIS</w:t>
      </w:r>
    </w:p>
    <w:p w14:paraId="273AD3A0" w14:textId="77777777" w:rsidR="008F230A" w:rsidRPr="008F230A" w:rsidRDefault="008F230A" w:rsidP="00940726">
      <w:pPr>
        <w:numPr>
          <w:ilvl w:val="0"/>
          <w:numId w:val="7"/>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lang w:val="en-US"/>
        </w:rPr>
      </w:pPr>
      <w:r w:rsidRPr="008F230A">
        <w:rPr>
          <w:rFonts w:ascii="Times New Roman" w:eastAsia="Times New Roman" w:hAnsi="Times New Roman" w:cs="Times New Roman"/>
          <w:b/>
          <w:bCs/>
          <w:color w:val="000000"/>
          <w:lang w:val="en-US"/>
        </w:rPr>
        <w:t>Pelayanan Farmasi Klinis</w:t>
      </w:r>
    </w:p>
    <w:p w14:paraId="16D574D3" w14:textId="77777777" w:rsidR="008F230A" w:rsidRP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8F230A">
        <w:rPr>
          <w:rFonts w:ascii="Times New Roman" w:eastAsia="Times New Roman" w:hAnsi="Times New Roman" w:cs="Times New Roman"/>
          <w:b/>
          <w:bCs/>
          <w:color w:val="000000"/>
          <w:lang w:val="en-US"/>
        </w:rPr>
        <w:tab/>
      </w:r>
      <w:r w:rsidRPr="008F230A">
        <w:rPr>
          <w:rFonts w:ascii="Times New Roman" w:eastAsia="Times New Roman" w:hAnsi="Times New Roman" w:cs="Times New Roman"/>
          <w:color w:val="000000"/>
          <w:lang w:val="en-US"/>
        </w:rPr>
        <w:t xml:space="preserve">Pelayanan Farmasi klinis merupakan betuk tanggung jawab dan pelayanan langsung yang diberikan oleh seorang apoteker kepada pasien untuk meningkatkan hasil pengobatan dan meminimalkan risiko efek samping obat, demi tujuan keselamatan pasien dan menjamin kualitas hidup pasien </w:t>
      </w:r>
      <w:r w:rsidRPr="008F230A">
        <w:rPr>
          <w:rFonts w:ascii="Times New Roman" w:eastAsia="Times New Roman" w:hAnsi="Times New Roman" w:cs="Times New Roman"/>
          <w:color w:val="000000"/>
          <w:lang w:val="en-US"/>
        </w:rPr>
        <w:fldChar w:fldCharType="begin" w:fldLock="1"/>
      </w:r>
      <w:r w:rsidRPr="008F230A">
        <w:rPr>
          <w:rFonts w:ascii="Times New Roman" w:eastAsia="Times New Roman" w:hAnsi="Times New Roman" w:cs="Times New Roman"/>
          <w:color w:val="000000"/>
          <w:lang w:val="en-US"/>
        </w:rPr>
        <w:instrText>ADDIN CSL_CITATION {"citationItems":[{"id":"ITEM-1","itemData":{"DOI":"10.30737/jaim.v7i1.4934","ISSN":"2579-4493","abstract":"The world increasingly familiar with the digital world encourages the government to transform, especially in public services. Digital transformation in the public service sector is principally carried out to present public services that can adapt to society's needs. This will be optimal if it is carried out collaboratively across agencies regarding data utilization and service delivery. This collaboration is not limited to between government agencies but also across BUMN/D and private parties to provide excellent service to the community. For this reason, policies have been established that encourage and direct the four targets of accelerating the transformation of public services, namely the realization of electronic-based public services for each type of service (e-service), public complaints as the basis for public service policies, strengthening innovation ecosystems and strengthening integrated services. In supporting this, ASN, especially supervisory officials, need insight into technological developments in preparing organizations to utilize technology that suits their needs in improving electronic-based public services (e-services) to the public. The SIPIO application (Consultation and Drug Information Services) was created as an innovative service that can maximize the pharmacist's clinical pharmacy work so that patients or health workers who need information about drugs can easily communicate with pharmacists.","author":[{"dropping-particle":"","family":"Wiyati","given":"Eni Rohma","non-dropping-particle":"","parse-names":false,"suffix":""}],"container-title":"Jurnal Abdi Masyarakat","id":"ITEM-1","issue":"1","issued":{"date-parts":[["2023"]]},"page":"94-108","title":"Penerapan Aplikasi Sipio Berbasis Smartphone Untuk Meningkatkan Pelayanan Farmasi Klinik Apoteker Di Rsud Simpang Lima Gumul Kediri","type":"article-journal","volume":"7"},"uris":["http://www.mendeley.com/documents/?uuid=2beea747-d0f7-4fbe-8c3c-3c2bab1573a5"]}],"mendeley":{"formattedCitation":"(Wiyati, 2023)","plainTextFormattedCitation":"(Wiyati, 2023)","previouslyFormattedCitation":"(Wiyati, 2023)"},"properties":{"noteIndex":0},"schema":"https://github.com/citation-style-language/schema/raw/master/csl-citation.json"}</w:instrText>
      </w:r>
      <w:r w:rsidRPr="008F230A">
        <w:rPr>
          <w:rFonts w:ascii="Times New Roman" w:eastAsia="Times New Roman" w:hAnsi="Times New Roman" w:cs="Times New Roman"/>
          <w:color w:val="000000"/>
          <w:lang w:val="en-US"/>
        </w:rPr>
        <w:fldChar w:fldCharType="separate"/>
      </w:r>
      <w:r w:rsidRPr="008F230A">
        <w:rPr>
          <w:rFonts w:ascii="Times New Roman" w:eastAsia="Times New Roman" w:hAnsi="Times New Roman" w:cs="Times New Roman"/>
          <w:color w:val="000000"/>
          <w:lang w:val="en-US"/>
        </w:rPr>
        <w:t>(Wiyati, 2023)</w:t>
      </w:r>
      <w:r w:rsidRPr="008F230A">
        <w:rPr>
          <w:rFonts w:ascii="Times New Roman" w:eastAsia="Times New Roman" w:hAnsi="Times New Roman" w:cs="Times New Roman"/>
          <w:color w:val="000000"/>
          <w:lang w:val="en-US"/>
        </w:rPr>
        <w:fldChar w:fldCharType="end"/>
      </w:r>
      <w:r w:rsidRPr="008F230A">
        <w:rPr>
          <w:rFonts w:ascii="Times New Roman" w:eastAsia="Times New Roman" w:hAnsi="Times New Roman" w:cs="Times New Roman"/>
          <w:color w:val="000000"/>
          <w:lang w:val="en-US"/>
        </w:rPr>
        <w:t xml:space="preserve">. Berdasarakan standar pelayanan kefarmasian di rumah sakit ada 11 aspek pelayanan farmasi klinis. Berikut </w:t>
      </w:r>
      <w:r w:rsidRPr="008F230A">
        <w:rPr>
          <w:rFonts w:ascii="Times New Roman" w:eastAsia="Times New Roman" w:hAnsi="Times New Roman" w:cs="Times New Roman"/>
          <w:bCs/>
          <w:color w:val="000000"/>
          <w:lang w:val="en-US"/>
        </w:rPr>
        <w:t>Berikut hasil skoring dan persentasi kesesuaian evaluasi penerapan standart pelayanan farmasi klinis menurut Permenkes No.72 tahun 2016 di RSUD Praya Kabupaten Lombok Tengah tersaji pada Tabel 2.</w:t>
      </w:r>
    </w:p>
    <w:p w14:paraId="598E815F" w14:textId="77777777" w:rsidR="008F230A" w:rsidRP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b/>
          <w:bCs/>
          <w:color w:val="000000"/>
          <w:lang w:val="en-US"/>
        </w:rPr>
      </w:pPr>
      <w:r w:rsidRPr="008F230A">
        <w:rPr>
          <w:rFonts w:ascii="Times New Roman" w:eastAsia="Times New Roman" w:hAnsi="Times New Roman" w:cs="Times New Roman"/>
          <w:b/>
          <w:bCs/>
          <w:color w:val="000000"/>
          <w:lang w:val="en-US"/>
        </w:rPr>
        <w:t>Tabel 2.</w:t>
      </w:r>
      <w:r w:rsidRPr="008F230A">
        <w:rPr>
          <w:rFonts w:ascii="Times New Roman" w:eastAsia="Times New Roman" w:hAnsi="Times New Roman" w:cs="Times New Roman"/>
          <w:b/>
          <w:bCs/>
          <w:color w:val="000000"/>
          <w:lang w:val="en-US"/>
        </w:rPr>
        <w:tab/>
      </w:r>
      <w:r w:rsidRPr="008F230A">
        <w:rPr>
          <w:rFonts w:ascii="Times New Roman" w:eastAsia="Times New Roman" w:hAnsi="Times New Roman" w:cs="Times New Roman"/>
          <w:b/>
          <w:color w:val="000000"/>
          <w:lang w:val="en-US"/>
        </w:rPr>
        <w:t>Hasil skoring dan Penilaian Pelayanan Farmasi Klinis Di RSUD Praya Lombok Tengah</w:t>
      </w:r>
    </w:p>
    <w:tbl>
      <w:tblPr>
        <w:tblStyle w:val="ListTable1Light-Accent61"/>
        <w:tblW w:w="9179" w:type="dxa"/>
        <w:tblLook w:val="04A0" w:firstRow="1" w:lastRow="0" w:firstColumn="1" w:lastColumn="0" w:noHBand="0" w:noVBand="1"/>
      </w:tblPr>
      <w:tblGrid>
        <w:gridCol w:w="528"/>
        <w:gridCol w:w="3533"/>
        <w:gridCol w:w="1381"/>
        <w:gridCol w:w="1025"/>
        <w:gridCol w:w="1356"/>
        <w:gridCol w:w="1356"/>
      </w:tblGrid>
      <w:tr w:rsidR="008F230A" w:rsidRPr="008F230A" w14:paraId="2CC89FE7" w14:textId="77777777" w:rsidTr="008F230A">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528" w:type="dxa"/>
            <w:tcBorders>
              <w:top w:val="nil"/>
              <w:left w:val="nil"/>
              <w:right w:val="nil"/>
            </w:tcBorders>
            <w:hideMark/>
          </w:tcPr>
          <w:p w14:paraId="27263E22" w14:textId="77777777" w:rsidR="008F230A" w:rsidRPr="008F230A" w:rsidRDefault="008F230A" w:rsidP="007E797E">
            <w:pPr>
              <w:jc w:val="center"/>
              <w:rPr>
                <w:rFonts w:ascii="Times New Roman" w:hAnsi="Times New Roman" w:cs="Times New Roman"/>
                <w:color w:val="000000" w:themeColor="text1"/>
              </w:rPr>
            </w:pPr>
            <w:r w:rsidRPr="008F230A">
              <w:rPr>
                <w:rFonts w:ascii="Times New Roman" w:hAnsi="Times New Roman" w:cs="Times New Roman"/>
                <w:color w:val="000000" w:themeColor="text1"/>
              </w:rPr>
              <w:t>No</w:t>
            </w:r>
          </w:p>
        </w:tc>
        <w:tc>
          <w:tcPr>
            <w:tcW w:w="3533" w:type="dxa"/>
            <w:tcBorders>
              <w:top w:val="nil"/>
              <w:left w:val="nil"/>
              <w:right w:val="nil"/>
            </w:tcBorders>
            <w:hideMark/>
          </w:tcPr>
          <w:p w14:paraId="012A70C7" w14:textId="77777777" w:rsidR="008F230A" w:rsidRPr="008F230A" w:rsidRDefault="008F230A"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Aspek Pelayanana Farmasi Klinis</w:t>
            </w:r>
          </w:p>
        </w:tc>
        <w:tc>
          <w:tcPr>
            <w:tcW w:w="1381" w:type="dxa"/>
            <w:tcBorders>
              <w:top w:val="nil"/>
              <w:left w:val="nil"/>
              <w:right w:val="nil"/>
            </w:tcBorders>
            <w:hideMark/>
          </w:tcPr>
          <w:p w14:paraId="54352E46" w14:textId="77777777" w:rsidR="008F230A" w:rsidRPr="008F230A" w:rsidRDefault="008F230A"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 Pertanyaan</w:t>
            </w:r>
          </w:p>
        </w:tc>
        <w:tc>
          <w:tcPr>
            <w:tcW w:w="1025" w:type="dxa"/>
            <w:tcBorders>
              <w:top w:val="nil"/>
              <w:left w:val="nil"/>
              <w:right w:val="nil"/>
            </w:tcBorders>
            <w:hideMark/>
          </w:tcPr>
          <w:p w14:paraId="173D252D" w14:textId="77777777" w:rsidR="008F230A" w:rsidRPr="008F230A" w:rsidRDefault="008F230A"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Skoring</w:t>
            </w:r>
          </w:p>
        </w:tc>
        <w:tc>
          <w:tcPr>
            <w:tcW w:w="1356" w:type="dxa"/>
            <w:tcBorders>
              <w:top w:val="nil"/>
              <w:left w:val="nil"/>
              <w:right w:val="nil"/>
            </w:tcBorders>
            <w:hideMark/>
          </w:tcPr>
          <w:p w14:paraId="1FC7E3F3" w14:textId="77777777" w:rsidR="008F230A" w:rsidRPr="008F230A" w:rsidRDefault="008F230A"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 Kesesuaian</w:t>
            </w:r>
          </w:p>
        </w:tc>
        <w:tc>
          <w:tcPr>
            <w:tcW w:w="1356" w:type="dxa"/>
            <w:tcBorders>
              <w:top w:val="nil"/>
              <w:left w:val="nil"/>
              <w:right w:val="nil"/>
            </w:tcBorders>
            <w:hideMark/>
          </w:tcPr>
          <w:p w14:paraId="5280A862" w14:textId="77777777" w:rsidR="008F230A" w:rsidRPr="008F230A" w:rsidRDefault="008F230A" w:rsidP="007E79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Kategori</w:t>
            </w:r>
          </w:p>
        </w:tc>
      </w:tr>
      <w:tr w:rsidR="008F230A" w:rsidRPr="008F230A" w14:paraId="56E3A909" w14:textId="77777777" w:rsidTr="003F656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tcPr>
          <w:p w14:paraId="27AB34C4" w14:textId="77777777" w:rsidR="008F230A" w:rsidRPr="008F230A" w:rsidRDefault="008F230A" w:rsidP="007E797E">
            <w:pPr>
              <w:jc w:val="both"/>
              <w:rPr>
                <w:rFonts w:ascii="Times New Roman" w:hAnsi="Times New Roman" w:cs="Times New Roman"/>
                <w:b w:val="0"/>
                <w:bCs w:val="0"/>
                <w:color w:val="000000" w:themeColor="text1"/>
              </w:rPr>
            </w:pPr>
          </w:p>
        </w:tc>
        <w:tc>
          <w:tcPr>
            <w:tcW w:w="3533" w:type="dxa"/>
            <w:shd w:val="clear" w:color="auto" w:fill="EAF1DD" w:themeFill="accent3" w:themeFillTint="33"/>
          </w:tcPr>
          <w:p w14:paraId="6E14007E"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381" w:type="dxa"/>
            <w:shd w:val="clear" w:color="auto" w:fill="EAF1DD" w:themeFill="accent3" w:themeFillTint="33"/>
          </w:tcPr>
          <w:p w14:paraId="1063D1F2"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025" w:type="dxa"/>
            <w:shd w:val="clear" w:color="auto" w:fill="EAF1DD" w:themeFill="accent3" w:themeFillTint="33"/>
          </w:tcPr>
          <w:p w14:paraId="6079E13E"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356" w:type="dxa"/>
            <w:shd w:val="clear" w:color="auto" w:fill="EAF1DD" w:themeFill="accent3" w:themeFillTint="33"/>
          </w:tcPr>
          <w:p w14:paraId="3EC2E76F"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c>
          <w:tcPr>
            <w:tcW w:w="1356" w:type="dxa"/>
            <w:shd w:val="clear" w:color="auto" w:fill="EAF1DD" w:themeFill="accent3" w:themeFillTint="33"/>
          </w:tcPr>
          <w:p w14:paraId="563553FB"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p>
        </w:tc>
      </w:tr>
      <w:tr w:rsidR="008F230A" w:rsidRPr="008F230A" w14:paraId="711EDB82" w14:textId="77777777" w:rsidTr="008F230A">
        <w:trPr>
          <w:trHeight w:val="231"/>
        </w:trPr>
        <w:tc>
          <w:tcPr>
            <w:cnfStyle w:val="001000000000" w:firstRow="0" w:lastRow="0" w:firstColumn="1" w:lastColumn="0" w:oddVBand="0" w:evenVBand="0" w:oddHBand="0" w:evenHBand="0" w:firstRowFirstColumn="0" w:firstRowLastColumn="0" w:lastRowFirstColumn="0" w:lastRowLastColumn="0"/>
            <w:tcW w:w="9179" w:type="dxa"/>
            <w:gridSpan w:val="6"/>
            <w:hideMark/>
          </w:tcPr>
          <w:p w14:paraId="76D8AAD6" w14:textId="77777777" w:rsidR="008F230A" w:rsidRPr="008F230A" w:rsidRDefault="008F230A" w:rsidP="007E797E">
            <w:pPr>
              <w:jc w:val="center"/>
              <w:rPr>
                <w:rFonts w:ascii="Times New Roman" w:hAnsi="Times New Roman" w:cs="Times New Roman"/>
                <w:color w:val="000000" w:themeColor="text1"/>
              </w:rPr>
            </w:pPr>
            <w:r w:rsidRPr="008F230A">
              <w:rPr>
                <w:rFonts w:ascii="Times New Roman" w:hAnsi="Times New Roman" w:cs="Times New Roman"/>
                <w:color w:val="000000" w:themeColor="text1"/>
              </w:rPr>
              <w:t>RAWAT INAP</w:t>
            </w:r>
          </w:p>
        </w:tc>
      </w:tr>
      <w:tr w:rsidR="008F230A" w:rsidRPr="008F230A" w14:paraId="33BB244A" w14:textId="77777777" w:rsidTr="003F6561">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47D80F86"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1</w:t>
            </w:r>
          </w:p>
        </w:tc>
        <w:tc>
          <w:tcPr>
            <w:tcW w:w="3533" w:type="dxa"/>
            <w:shd w:val="clear" w:color="auto" w:fill="EAF1DD" w:themeFill="accent3" w:themeFillTint="33"/>
            <w:hideMark/>
          </w:tcPr>
          <w:p w14:paraId="46D866EA"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Pengkajian dan Pelayanan Resep</w:t>
            </w:r>
          </w:p>
        </w:tc>
        <w:tc>
          <w:tcPr>
            <w:tcW w:w="1381" w:type="dxa"/>
            <w:shd w:val="clear" w:color="auto" w:fill="EAF1DD" w:themeFill="accent3" w:themeFillTint="33"/>
            <w:hideMark/>
          </w:tcPr>
          <w:p w14:paraId="76F0F3AC"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025" w:type="dxa"/>
            <w:shd w:val="clear" w:color="auto" w:fill="EAF1DD" w:themeFill="accent3" w:themeFillTint="33"/>
            <w:hideMark/>
          </w:tcPr>
          <w:p w14:paraId="14C1176E"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shd w:val="clear" w:color="auto" w:fill="EAF1DD" w:themeFill="accent3" w:themeFillTint="33"/>
            <w:hideMark/>
          </w:tcPr>
          <w:p w14:paraId="4EAC99DF"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4E97E1B8"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1C3EF74D" w14:textId="77777777" w:rsidTr="008F230A">
        <w:trPr>
          <w:trHeight w:val="477"/>
        </w:trPr>
        <w:tc>
          <w:tcPr>
            <w:cnfStyle w:val="001000000000" w:firstRow="0" w:lastRow="0" w:firstColumn="1" w:lastColumn="0" w:oddVBand="0" w:evenVBand="0" w:oddHBand="0" w:evenHBand="0" w:firstRowFirstColumn="0" w:firstRowLastColumn="0" w:lastRowFirstColumn="0" w:lastRowLastColumn="0"/>
            <w:tcW w:w="528" w:type="dxa"/>
            <w:hideMark/>
          </w:tcPr>
          <w:p w14:paraId="2D6BF98F"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2</w:t>
            </w:r>
          </w:p>
        </w:tc>
        <w:tc>
          <w:tcPr>
            <w:tcW w:w="3533" w:type="dxa"/>
            <w:hideMark/>
          </w:tcPr>
          <w:p w14:paraId="2251B227"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Penelusuran Riwayat Penggunaan Obat</w:t>
            </w:r>
          </w:p>
        </w:tc>
        <w:tc>
          <w:tcPr>
            <w:tcW w:w="1381" w:type="dxa"/>
            <w:hideMark/>
          </w:tcPr>
          <w:p w14:paraId="332C356C"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025" w:type="dxa"/>
            <w:hideMark/>
          </w:tcPr>
          <w:p w14:paraId="420A2D00"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hideMark/>
          </w:tcPr>
          <w:p w14:paraId="1B6D3EC1"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66</w:t>
            </w:r>
          </w:p>
        </w:tc>
        <w:tc>
          <w:tcPr>
            <w:tcW w:w="1356" w:type="dxa"/>
            <w:hideMark/>
          </w:tcPr>
          <w:p w14:paraId="490D3F37"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Baik</w:t>
            </w:r>
          </w:p>
        </w:tc>
      </w:tr>
      <w:tr w:rsidR="008F230A" w:rsidRPr="008F230A" w14:paraId="76DF57BF" w14:textId="77777777" w:rsidTr="003F6561">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36A2020A"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3</w:t>
            </w:r>
          </w:p>
        </w:tc>
        <w:tc>
          <w:tcPr>
            <w:tcW w:w="3533" w:type="dxa"/>
            <w:shd w:val="clear" w:color="auto" w:fill="EAF1DD" w:themeFill="accent3" w:themeFillTint="33"/>
            <w:hideMark/>
          </w:tcPr>
          <w:p w14:paraId="003514E6"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Rekonsiliasi Obat</w:t>
            </w:r>
          </w:p>
        </w:tc>
        <w:tc>
          <w:tcPr>
            <w:tcW w:w="1381" w:type="dxa"/>
            <w:shd w:val="clear" w:color="auto" w:fill="EAF1DD" w:themeFill="accent3" w:themeFillTint="33"/>
            <w:hideMark/>
          </w:tcPr>
          <w:p w14:paraId="0F6F782D"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025" w:type="dxa"/>
            <w:shd w:val="clear" w:color="auto" w:fill="EAF1DD" w:themeFill="accent3" w:themeFillTint="33"/>
            <w:hideMark/>
          </w:tcPr>
          <w:p w14:paraId="426207CD"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356" w:type="dxa"/>
            <w:shd w:val="clear" w:color="auto" w:fill="EAF1DD" w:themeFill="accent3" w:themeFillTint="33"/>
            <w:hideMark/>
          </w:tcPr>
          <w:p w14:paraId="45D2272F"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2A360EB7"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3F0AF419" w14:textId="77777777" w:rsidTr="008F230A">
        <w:trPr>
          <w:trHeight w:val="462"/>
        </w:trPr>
        <w:tc>
          <w:tcPr>
            <w:cnfStyle w:val="001000000000" w:firstRow="0" w:lastRow="0" w:firstColumn="1" w:lastColumn="0" w:oddVBand="0" w:evenVBand="0" w:oddHBand="0" w:evenHBand="0" w:firstRowFirstColumn="0" w:firstRowLastColumn="0" w:lastRowFirstColumn="0" w:lastRowLastColumn="0"/>
            <w:tcW w:w="528" w:type="dxa"/>
            <w:hideMark/>
          </w:tcPr>
          <w:p w14:paraId="71362F59"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lastRenderedPageBreak/>
              <w:t>4</w:t>
            </w:r>
          </w:p>
        </w:tc>
        <w:tc>
          <w:tcPr>
            <w:tcW w:w="3533" w:type="dxa"/>
            <w:hideMark/>
          </w:tcPr>
          <w:p w14:paraId="46C35800"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Pelayanan Informasi Obat</w:t>
            </w:r>
          </w:p>
        </w:tc>
        <w:tc>
          <w:tcPr>
            <w:tcW w:w="1381" w:type="dxa"/>
            <w:hideMark/>
          </w:tcPr>
          <w:p w14:paraId="4F13DCC7"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025" w:type="dxa"/>
            <w:hideMark/>
          </w:tcPr>
          <w:p w14:paraId="4809A3E5"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356" w:type="dxa"/>
            <w:hideMark/>
          </w:tcPr>
          <w:p w14:paraId="34E16DB8"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hideMark/>
          </w:tcPr>
          <w:p w14:paraId="473B0A67"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30A88CBF" w14:textId="77777777" w:rsidTr="003F6561">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22434564"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5</w:t>
            </w:r>
          </w:p>
        </w:tc>
        <w:tc>
          <w:tcPr>
            <w:tcW w:w="3533" w:type="dxa"/>
            <w:shd w:val="clear" w:color="auto" w:fill="EAF1DD" w:themeFill="accent3" w:themeFillTint="33"/>
            <w:hideMark/>
          </w:tcPr>
          <w:p w14:paraId="09C9CCCC"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Konseling</w:t>
            </w:r>
          </w:p>
        </w:tc>
        <w:tc>
          <w:tcPr>
            <w:tcW w:w="1381" w:type="dxa"/>
            <w:shd w:val="clear" w:color="auto" w:fill="EAF1DD" w:themeFill="accent3" w:themeFillTint="33"/>
            <w:hideMark/>
          </w:tcPr>
          <w:p w14:paraId="1DC25BD1"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4</w:t>
            </w:r>
          </w:p>
        </w:tc>
        <w:tc>
          <w:tcPr>
            <w:tcW w:w="1025" w:type="dxa"/>
            <w:shd w:val="clear" w:color="auto" w:fill="EAF1DD" w:themeFill="accent3" w:themeFillTint="33"/>
            <w:hideMark/>
          </w:tcPr>
          <w:p w14:paraId="4449331F"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4</w:t>
            </w:r>
          </w:p>
        </w:tc>
        <w:tc>
          <w:tcPr>
            <w:tcW w:w="1356" w:type="dxa"/>
            <w:shd w:val="clear" w:color="auto" w:fill="EAF1DD" w:themeFill="accent3" w:themeFillTint="33"/>
            <w:hideMark/>
          </w:tcPr>
          <w:p w14:paraId="473B1011"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3FE433EB"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4361DA79" w14:textId="77777777" w:rsidTr="008F230A">
        <w:trPr>
          <w:trHeight w:val="462"/>
        </w:trPr>
        <w:tc>
          <w:tcPr>
            <w:cnfStyle w:val="001000000000" w:firstRow="0" w:lastRow="0" w:firstColumn="1" w:lastColumn="0" w:oddVBand="0" w:evenVBand="0" w:oddHBand="0" w:evenHBand="0" w:firstRowFirstColumn="0" w:firstRowLastColumn="0" w:lastRowFirstColumn="0" w:lastRowLastColumn="0"/>
            <w:tcW w:w="528" w:type="dxa"/>
            <w:hideMark/>
          </w:tcPr>
          <w:p w14:paraId="4D2C5513"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6</w:t>
            </w:r>
          </w:p>
        </w:tc>
        <w:tc>
          <w:tcPr>
            <w:tcW w:w="3533" w:type="dxa"/>
            <w:hideMark/>
          </w:tcPr>
          <w:p w14:paraId="38C8A400"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8F230A">
              <w:rPr>
                <w:rFonts w:ascii="Times New Roman" w:hAnsi="Times New Roman" w:cs="Times New Roman"/>
                <w:i/>
                <w:iCs/>
                <w:color w:val="000000" w:themeColor="text1"/>
              </w:rPr>
              <w:t>Visite</w:t>
            </w:r>
          </w:p>
        </w:tc>
        <w:tc>
          <w:tcPr>
            <w:tcW w:w="1381" w:type="dxa"/>
            <w:hideMark/>
          </w:tcPr>
          <w:p w14:paraId="044875A3"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w:t>
            </w:r>
          </w:p>
        </w:tc>
        <w:tc>
          <w:tcPr>
            <w:tcW w:w="1025" w:type="dxa"/>
            <w:hideMark/>
          </w:tcPr>
          <w:p w14:paraId="6AD59553"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w:t>
            </w:r>
          </w:p>
        </w:tc>
        <w:tc>
          <w:tcPr>
            <w:tcW w:w="1356" w:type="dxa"/>
            <w:hideMark/>
          </w:tcPr>
          <w:p w14:paraId="1ECE8A50"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hideMark/>
          </w:tcPr>
          <w:p w14:paraId="749CEDF6"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531A2738" w14:textId="77777777" w:rsidTr="003F6561">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1C072136"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7</w:t>
            </w:r>
          </w:p>
        </w:tc>
        <w:tc>
          <w:tcPr>
            <w:tcW w:w="3533" w:type="dxa"/>
            <w:shd w:val="clear" w:color="auto" w:fill="EAF1DD" w:themeFill="accent3" w:themeFillTint="33"/>
            <w:hideMark/>
          </w:tcPr>
          <w:p w14:paraId="5891D282"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Pemantauan Terapi Obat</w:t>
            </w:r>
          </w:p>
        </w:tc>
        <w:tc>
          <w:tcPr>
            <w:tcW w:w="1381" w:type="dxa"/>
            <w:shd w:val="clear" w:color="auto" w:fill="EAF1DD" w:themeFill="accent3" w:themeFillTint="33"/>
            <w:hideMark/>
          </w:tcPr>
          <w:p w14:paraId="6D45A069"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025" w:type="dxa"/>
            <w:shd w:val="clear" w:color="auto" w:fill="EAF1DD" w:themeFill="accent3" w:themeFillTint="33"/>
            <w:hideMark/>
          </w:tcPr>
          <w:p w14:paraId="2327DE86"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356" w:type="dxa"/>
            <w:shd w:val="clear" w:color="auto" w:fill="EAF1DD" w:themeFill="accent3" w:themeFillTint="33"/>
            <w:hideMark/>
          </w:tcPr>
          <w:p w14:paraId="4B907041"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7F2F4294"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7DE5DB8A" w14:textId="77777777" w:rsidTr="008F230A">
        <w:trPr>
          <w:trHeight w:val="231"/>
        </w:trPr>
        <w:tc>
          <w:tcPr>
            <w:cnfStyle w:val="001000000000" w:firstRow="0" w:lastRow="0" w:firstColumn="1" w:lastColumn="0" w:oddVBand="0" w:evenVBand="0" w:oddHBand="0" w:evenHBand="0" w:firstRowFirstColumn="0" w:firstRowLastColumn="0" w:lastRowFirstColumn="0" w:lastRowLastColumn="0"/>
            <w:tcW w:w="528" w:type="dxa"/>
            <w:hideMark/>
          </w:tcPr>
          <w:p w14:paraId="2D5F6823"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8</w:t>
            </w:r>
          </w:p>
        </w:tc>
        <w:tc>
          <w:tcPr>
            <w:tcW w:w="3533" w:type="dxa"/>
            <w:hideMark/>
          </w:tcPr>
          <w:p w14:paraId="402AC38F"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Monitoring Efek Samping Obat</w:t>
            </w:r>
          </w:p>
        </w:tc>
        <w:tc>
          <w:tcPr>
            <w:tcW w:w="1381" w:type="dxa"/>
            <w:hideMark/>
          </w:tcPr>
          <w:p w14:paraId="439D0B4F"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025" w:type="dxa"/>
            <w:hideMark/>
          </w:tcPr>
          <w:p w14:paraId="7AC79EAD"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4</w:t>
            </w:r>
          </w:p>
        </w:tc>
        <w:tc>
          <w:tcPr>
            <w:tcW w:w="1356" w:type="dxa"/>
            <w:hideMark/>
          </w:tcPr>
          <w:p w14:paraId="571F4FE7"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80</w:t>
            </w:r>
          </w:p>
        </w:tc>
        <w:tc>
          <w:tcPr>
            <w:tcW w:w="1356" w:type="dxa"/>
            <w:hideMark/>
          </w:tcPr>
          <w:p w14:paraId="674930E6"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Baik</w:t>
            </w:r>
          </w:p>
        </w:tc>
      </w:tr>
      <w:tr w:rsidR="008F230A" w:rsidRPr="008F230A" w14:paraId="73E9E1E8" w14:textId="77777777" w:rsidTr="003F656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7624443A"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9</w:t>
            </w:r>
          </w:p>
        </w:tc>
        <w:tc>
          <w:tcPr>
            <w:tcW w:w="3533" w:type="dxa"/>
            <w:shd w:val="clear" w:color="auto" w:fill="EAF1DD" w:themeFill="accent3" w:themeFillTint="33"/>
            <w:hideMark/>
          </w:tcPr>
          <w:p w14:paraId="685A5217"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Evaluasi Penggunaan Obat</w:t>
            </w:r>
          </w:p>
        </w:tc>
        <w:tc>
          <w:tcPr>
            <w:tcW w:w="1381" w:type="dxa"/>
            <w:shd w:val="clear" w:color="auto" w:fill="EAF1DD" w:themeFill="accent3" w:themeFillTint="33"/>
            <w:hideMark/>
          </w:tcPr>
          <w:p w14:paraId="6C0C2148"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025" w:type="dxa"/>
            <w:shd w:val="clear" w:color="auto" w:fill="EAF1DD" w:themeFill="accent3" w:themeFillTint="33"/>
            <w:hideMark/>
          </w:tcPr>
          <w:p w14:paraId="2865BAB3"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shd w:val="clear" w:color="auto" w:fill="EAF1DD" w:themeFill="accent3" w:themeFillTint="33"/>
            <w:hideMark/>
          </w:tcPr>
          <w:p w14:paraId="61B81C19"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66</w:t>
            </w:r>
          </w:p>
        </w:tc>
        <w:tc>
          <w:tcPr>
            <w:tcW w:w="1356" w:type="dxa"/>
            <w:shd w:val="clear" w:color="auto" w:fill="EAF1DD" w:themeFill="accent3" w:themeFillTint="33"/>
            <w:hideMark/>
          </w:tcPr>
          <w:p w14:paraId="6F1AD853"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Baik</w:t>
            </w:r>
          </w:p>
        </w:tc>
      </w:tr>
      <w:tr w:rsidR="008F230A" w:rsidRPr="008F230A" w14:paraId="5E2C14EA" w14:textId="77777777" w:rsidTr="008F230A">
        <w:trPr>
          <w:trHeight w:val="231"/>
        </w:trPr>
        <w:tc>
          <w:tcPr>
            <w:cnfStyle w:val="001000000000" w:firstRow="0" w:lastRow="0" w:firstColumn="1" w:lastColumn="0" w:oddVBand="0" w:evenVBand="0" w:oddHBand="0" w:evenHBand="0" w:firstRowFirstColumn="0" w:firstRowLastColumn="0" w:lastRowFirstColumn="0" w:lastRowLastColumn="0"/>
            <w:tcW w:w="528" w:type="dxa"/>
            <w:hideMark/>
          </w:tcPr>
          <w:p w14:paraId="6E8C87ED"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10</w:t>
            </w:r>
          </w:p>
        </w:tc>
        <w:tc>
          <w:tcPr>
            <w:tcW w:w="3533" w:type="dxa"/>
            <w:hideMark/>
          </w:tcPr>
          <w:p w14:paraId="204778AD"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Dispensing Sediaan Steril</w:t>
            </w:r>
          </w:p>
        </w:tc>
        <w:tc>
          <w:tcPr>
            <w:tcW w:w="1381" w:type="dxa"/>
            <w:hideMark/>
          </w:tcPr>
          <w:p w14:paraId="70ED35C6"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4</w:t>
            </w:r>
          </w:p>
        </w:tc>
        <w:tc>
          <w:tcPr>
            <w:tcW w:w="1025" w:type="dxa"/>
            <w:hideMark/>
          </w:tcPr>
          <w:p w14:paraId="5734DE38"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356" w:type="dxa"/>
            <w:hideMark/>
          </w:tcPr>
          <w:p w14:paraId="223DFCC3"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75</w:t>
            </w:r>
          </w:p>
        </w:tc>
        <w:tc>
          <w:tcPr>
            <w:tcW w:w="1356" w:type="dxa"/>
            <w:hideMark/>
          </w:tcPr>
          <w:p w14:paraId="3F168654"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Baik</w:t>
            </w:r>
          </w:p>
        </w:tc>
      </w:tr>
      <w:tr w:rsidR="008F230A" w:rsidRPr="008F230A" w14:paraId="064E5259" w14:textId="77777777" w:rsidTr="003F6561">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5C2B2B06"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11</w:t>
            </w:r>
          </w:p>
        </w:tc>
        <w:tc>
          <w:tcPr>
            <w:tcW w:w="3533" w:type="dxa"/>
            <w:shd w:val="clear" w:color="auto" w:fill="EAF1DD" w:themeFill="accent3" w:themeFillTint="33"/>
            <w:hideMark/>
          </w:tcPr>
          <w:p w14:paraId="7F1E7319"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Pemantauan Kadar Obat Dalam darah</w:t>
            </w:r>
          </w:p>
        </w:tc>
        <w:tc>
          <w:tcPr>
            <w:tcW w:w="1381" w:type="dxa"/>
            <w:shd w:val="clear" w:color="auto" w:fill="EAF1DD" w:themeFill="accent3" w:themeFillTint="33"/>
            <w:hideMark/>
          </w:tcPr>
          <w:p w14:paraId="4E3271D4"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025" w:type="dxa"/>
            <w:shd w:val="clear" w:color="auto" w:fill="EAF1DD" w:themeFill="accent3" w:themeFillTint="33"/>
            <w:hideMark/>
          </w:tcPr>
          <w:p w14:paraId="0045B3A7"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shd w:val="clear" w:color="auto" w:fill="EAF1DD" w:themeFill="accent3" w:themeFillTint="33"/>
            <w:hideMark/>
          </w:tcPr>
          <w:p w14:paraId="0D09B4C9"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48692F74"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427B9AD7" w14:textId="77777777" w:rsidTr="008F230A">
        <w:trPr>
          <w:trHeight w:val="231"/>
        </w:trPr>
        <w:tc>
          <w:tcPr>
            <w:cnfStyle w:val="001000000000" w:firstRow="0" w:lastRow="0" w:firstColumn="1" w:lastColumn="0" w:oddVBand="0" w:evenVBand="0" w:oddHBand="0" w:evenHBand="0" w:firstRowFirstColumn="0" w:firstRowLastColumn="0" w:lastRowFirstColumn="0" w:lastRowLastColumn="0"/>
            <w:tcW w:w="9179" w:type="dxa"/>
            <w:gridSpan w:val="6"/>
            <w:hideMark/>
          </w:tcPr>
          <w:p w14:paraId="05B9C307" w14:textId="77777777" w:rsidR="008F230A" w:rsidRPr="008F230A" w:rsidRDefault="008F230A" w:rsidP="007E797E">
            <w:pPr>
              <w:jc w:val="center"/>
              <w:rPr>
                <w:rFonts w:ascii="Times New Roman" w:hAnsi="Times New Roman" w:cs="Times New Roman"/>
                <w:color w:val="000000" w:themeColor="text1"/>
              </w:rPr>
            </w:pPr>
            <w:r w:rsidRPr="008F230A">
              <w:rPr>
                <w:rFonts w:ascii="Times New Roman" w:hAnsi="Times New Roman" w:cs="Times New Roman"/>
                <w:color w:val="000000" w:themeColor="text1"/>
              </w:rPr>
              <w:t>RAWAT JALAN</w:t>
            </w:r>
          </w:p>
        </w:tc>
      </w:tr>
      <w:tr w:rsidR="008F230A" w:rsidRPr="008F230A" w14:paraId="354D8EE5" w14:textId="77777777" w:rsidTr="003F6561">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1AF005E5"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1</w:t>
            </w:r>
          </w:p>
        </w:tc>
        <w:tc>
          <w:tcPr>
            <w:tcW w:w="3533" w:type="dxa"/>
            <w:shd w:val="clear" w:color="auto" w:fill="EAF1DD" w:themeFill="accent3" w:themeFillTint="33"/>
            <w:hideMark/>
          </w:tcPr>
          <w:p w14:paraId="051EE93A"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Pengkajian dan Pelyanan Resep</w:t>
            </w:r>
          </w:p>
        </w:tc>
        <w:tc>
          <w:tcPr>
            <w:tcW w:w="1381" w:type="dxa"/>
            <w:shd w:val="clear" w:color="auto" w:fill="EAF1DD" w:themeFill="accent3" w:themeFillTint="33"/>
            <w:hideMark/>
          </w:tcPr>
          <w:p w14:paraId="0DE6110B"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025" w:type="dxa"/>
            <w:shd w:val="clear" w:color="auto" w:fill="EAF1DD" w:themeFill="accent3" w:themeFillTint="33"/>
            <w:hideMark/>
          </w:tcPr>
          <w:p w14:paraId="4E288499"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shd w:val="clear" w:color="auto" w:fill="EAF1DD" w:themeFill="accent3" w:themeFillTint="33"/>
            <w:hideMark/>
          </w:tcPr>
          <w:p w14:paraId="0373C4DE"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0B541F9D"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6C5C73AE" w14:textId="77777777" w:rsidTr="008F230A">
        <w:trPr>
          <w:trHeight w:val="462"/>
        </w:trPr>
        <w:tc>
          <w:tcPr>
            <w:cnfStyle w:val="001000000000" w:firstRow="0" w:lastRow="0" w:firstColumn="1" w:lastColumn="0" w:oddVBand="0" w:evenVBand="0" w:oddHBand="0" w:evenHBand="0" w:firstRowFirstColumn="0" w:firstRowLastColumn="0" w:lastRowFirstColumn="0" w:lastRowLastColumn="0"/>
            <w:tcW w:w="528" w:type="dxa"/>
            <w:hideMark/>
          </w:tcPr>
          <w:p w14:paraId="7B6FBE41"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2</w:t>
            </w:r>
          </w:p>
        </w:tc>
        <w:tc>
          <w:tcPr>
            <w:tcW w:w="3533" w:type="dxa"/>
            <w:hideMark/>
          </w:tcPr>
          <w:p w14:paraId="08E2C65E"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Penelusuran Riwayat Penggunaan Obat</w:t>
            </w:r>
          </w:p>
        </w:tc>
        <w:tc>
          <w:tcPr>
            <w:tcW w:w="1381" w:type="dxa"/>
            <w:hideMark/>
          </w:tcPr>
          <w:p w14:paraId="7EE0B646"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025" w:type="dxa"/>
            <w:hideMark/>
          </w:tcPr>
          <w:p w14:paraId="0DBD8921"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hideMark/>
          </w:tcPr>
          <w:p w14:paraId="3B426778"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66</w:t>
            </w:r>
          </w:p>
        </w:tc>
        <w:tc>
          <w:tcPr>
            <w:tcW w:w="1356" w:type="dxa"/>
            <w:hideMark/>
          </w:tcPr>
          <w:p w14:paraId="7D882E12"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Baik</w:t>
            </w:r>
          </w:p>
        </w:tc>
      </w:tr>
      <w:tr w:rsidR="008F230A" w:rsidRPr="008F230A" w14:paraId="214308D4" w14:textId="77777777" w:rsidTr="003F6561">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31CEBFE4"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3</w:t>
            </w:r>
          </w:p>
        </w:tc>
        <w:tc>
          <w:tcPr>
            <w:tcW w:w="3533" w:type="dxa"/>
            <w:shd w:val="clear" w:color="auto" w:fill="EAF1DD" w:themeFill="accent3" w:themeFillTint="33"/>
            <w:hideMark/>
          </w:tcPr>
          <w:p w14:paraId="63A45409"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Rekonsiliasi Obat</w:t>
            </w:r>
          </w:p>
        </w:tc>
        <w:tc>
          <w:tcPr>
            <w:tcW w:w="1381" w:type="dxa"/>
            <w:shd w:val="clear" w:color="auto" w:fill="EAF1DD" w:themeFill="accent3" w:themeFillTint="33"/>
            <w:hideMark/>
          </w:tcPr>
          <w:p w14:paraId="3238BEAD"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025" w:type="dxa"/>
            <w:shd w:val="clear" w:color="auto" w:fill="EAF1DD" w:themeFill="accent3" w:themeFillTint="33"/>
            <w:hideMark/>
          </w:tcPr>
          <w:p w14:paraId="45F7D1C8"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356" w:type="dxa"/>
            <w:shd w:val="clear" w:color="auto" w:fill="EAF1DD" w:themeFill="accent3" w:themeFillTint="33"/>
            <w:hideMark/>
          </w:tcPr>
          <w:p w14:paraId="4F37C4D1"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298653A1"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08B4F398" w14:textId="77777777" w:rsidTr="008F230A">
        <w:trPr>
          <w:trHeight w:val="462"/>
        </w:trPr>
        <w:tc>
          <w:tcPr>
            <w:cnfStyle w:val="001000000000" w:firstRow="0" w:lastRow="0" w:firstColumn="1" w:lastColumn="0" w:oddVBand="0" w:evenVBand="0" w:oddHBand="0" w:evenHBand="0" w:firstRowFirstColumn="0" w:firstRowLastColumn="0" w:lastRowFirstColumn="0" w:lastRowLastColumn="0"/>
            <w:tcW w:w="528" w:type="dxa"/>
            <w:hideMark/>
          </w:tcPr>
          <w:p w14:paraId="23B66F7B"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4</w:t>
            </w:r>
          </w:p>
        </w:tc>
        <w:tc>
          <w:tcPr>
            <w:tcW w:w="3533" w:type="dxa"/>
            <w:hideMark/>
          </w:tcPr>
          <w:p w14:paraId="28DF7995"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Pelayanan Informasi Obat</w:t>
            </w:r>
          </w:p>
        </w:tc>
        <w:tc>
          <w:tcPr>
            <w:tcW w:w="1381" w:type="dxa"/>
            <w:hideMark/>
          </w:tcPr>
          <w:p w14:paraId="20480FF0"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025" w:type="dxa"/>
            <w:hideMark/>
          </w:tcPr>
          <w:p w14:paraId="0798369E"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356" w:type="dxa"/>
            <w:hideMark/>
          </w:tcPr>
          <w:p w14:paraId="7574095C"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hideMark/>
          </w:tcPr>
          <w:p w14:paraId="7F9816F0"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01B16EB5" w14:textId="77777777" w:rsidTr="003F6561">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20F1D22E"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5</w:t>
            </w:r>
          </w:p>
        </w:tc>
        <w:tc>
          <w:tcPr>
            <w:tcW w:w="3533" w:type="dxa"/>
            <w:shd w:val="clear" w:color="auto" w:fill="EAF1DD" w:themeFill="accent3" w:themeFillTint="33"/>
            <w:hideMark/>
          </w:tcPr>
          <w:p w14:paraId="7818FEE2"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Konseling</w:t>
            </w:r>
          </w:p>
        </w:tc>
        <w:tc>
          <w:tcPr>
            <w:tcW w:w="1381" w:type="dxa"/>
            <w:shd w:val="clear" w:color="auto" w:fill="EAF1DD" w:themeFill="accent3" w:themeFillTint="33"/>
            <w:hideMark/>
          </w:tcPr>
          <w:p w14:paraId="71F70B93"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4</w:t>
            </w:r>
          </w:p>
        </w:tc>
        <w:tc>
          <w:tcPr>
            <w:tcW w:w="1025" w:type="dxa"/>
            <w:shd w:val="clear" w:color="auto" w:fill="EAF1DD" w:themeFill="accent3" w:themeFillTint="33"/>
            <w:hideMark/>
          </w:tcPr>
          <w:p w14:paraId="2D8400C3"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4</w:t>
            </w:r>
          </w:p>
        </w:tc>
        <w:tc>
          <w:tcPr>
            <w:tcW w:w="1356" w:type="dxa"/>
            <w:shd w:val="clear" w:color="auto" w:fill="EAF1DD" w:themeFill="accent3" w:themeFillTint="33"/>
            <w:hideMark/>
          </w:tcPr>
          <w:p w14:paraId="3C1E0425"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6691C7F8"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383015B1" w14:textId="77777777" w:rsidTr="008F230A">
        <w:trPr>
          <w:trHeight w:val="462"/>
        </w:trPr>
        <w:tc>
          <w:tcPr>
            <w:cnfStyle w:val="001000000000" w:firstRow="0" w:lastRow="0" w:firstColumn="1" w:lastColumn="0" w:oddVBand="0" w:evenVBand="0" w:oddHBand="0" w:evenHBand="0" w:firstRowFirstColumn="0" w:firstRowLastColumn="0" w:lastRowFirstColumn="0" w:lastRowLastColumn="0"/>
            <w:tcW w:w="528" w:type="dxa"/>
            <w:hideMark/>
          </w:tcPr>
          <w:p w14:paraId="0EF0C1AA"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6</w:t>
            </w:r>
          </w:p>
        </w:tc>
        <w:tc>
          <w:tcPr>
            <w:tcW w:w="3533" w:type="dxa"/>
            <w:hideMark/>
          </w:tcPr>
          <w:p w14:paraId="45425B2B"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i/>
                <w:iCs/>
                <w:color w:val="000000" w:themeColor="text1"/>
              </w:rPr>
              <w:t>Visite</w:t>
            </w:r>
          </w:p>
        </w:tc>
        <w:tc>
          <w:tcPr>
            <w:tcW w:w="1381" w:type="dxa"/>
            <w:hideMark/>
          </w:tcPr>
          <w:p w14:paraId="1DB06B3F"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w:t>
            </w:r>
          </w:p>
        </w:tc>
        <w:tc>
          <w:tcPr>
            <w:tcW w:w="1025" w:type="dxa"/>
            <w:hideMark/>
          </w:tcPr>
          <w:p w14:paraId="140F1593"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0</w:t>
            </w:r>
          </w:p>
        </w:tc>
        <w:tc>
          <w:tcPr>
            <w:tcW w:w="1356" w:type="dxa"/>
            <w:hideMark/>
          </w:tcPr>
          <w:p w14:paraId="21BB5908"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0</w:t>
            </w:r>
          </w:p>
        </w:tc>
        <w:tc>
          <w:tcPr>
            <w:tcW w:w="1356" w:type="dxa"/>
            <w:hideMark/>
          </w:tcPr>
          <w:p w14:paraId="2B535D53"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Kurang</w:t>
            </w:r>
          </w:p>
        </w:tc>
      </w:tr>
      <w:tr w:rsidR="008F230A" w:rsidRPr="008F230A" w14:paraId="06F82F38" w14:textId="77777777" w:rsidTr="003F6561">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27BCE74B"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7</w:t>
            </w:r>
          </w:p>
        </w:tc>
        <w:tc>
          <w:tcPr>
            <w:tcW w:w="3533" w:type="dxa"/>
            <w:shd w:val="clear" w:color="auto" w:fill="EAF1DD" w:themeFill="accent3" w:themeFillTint="33"/>
            <w:hideMark/>
          </w:tcPr>
          <w:p w14:paraId="1501E05F"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Pemantauan Terapi Obat</w:t>
            </w:r>
          </w:p>
        </w:tc>
        <w:tc>
          <w:tcPr>
            <w:tcW w:w="1381" w:type="dxa"/>
            <w:shd w:val="clear" w:color="auto" w:fill="EAF1DD" w:themeFill="accent3" w:themeFillTint="33"/>
            <w:hideMark/>
          </w:tcPr>
          <w:p w14:paraId="040951DD"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025" w:type="dxa"/>
            <w:shd w:val="clear" w:color="auto" w:fill="EAF1DD" w:themeFill="accent3" w:themeFillTint="33"/>
            <w:hideMark/>
          </w:tcPr>
          <w:p w14:paraId="74964B59"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w:t>
            </w:r>
          </w:p>
        </w:tc>
        <w:tc>
          <w:tcPr>
            <w:tcW w:w="1356" w:type="dxa"/>
            <w:shd w:val="clear" w:color="auto" w:fill="EAF1DD" w:themeFill="accent3" w:themeFillTint="33"/>
            <w:hideMark/>
          </w:tcPr>
          <w:p w14:paraId="44D57AC9"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30</w:t>
            </w:r>
          </w:p>
        </w:tc>
        <w:tc>
          <w:tcPr>
            <w:tcW w:w="1356" w:type="dxa"/>
            <w:shd w:val="clear" w:color="auto" w:fill="EAF1DD" w:themeFill="accent3" w:themeFillTint="33"/>
            <w:hideMark/>
          </w:tcPr>
          <w:p w14:paraId="4CD448C3"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Kurang Baik</w:t>
            </w:r>
          </w:p>
        </w:tc>
      </w:tr>
      <w:tr w:rsidR="008F230A" w:rsidRPr="008F230A" w14:paraId="3B972A3A" w14:textId="77777777" w:rsidTr="008F230A">
        <w:trPr>
          <w:trHeight w:val="462"/>
        </w:trPr>
        <w:tc>
          <w:tcPr>
            <w:cnfStyle w:val="001000000000" w:firstRow="0" w:lastRow="0" w:firstColumn="1" w:lastColumn="0" w:oddVBand="0" w:evenVBand="0" w:oddHBand="0" w:evenHBand="0" w:firstRowFirstColumn="0" w:firstRowLastColumn="0" w:lastRowFirstColumn="0" w:lastRowLastColumn="0"/>
            <w:tcW w:w="528" w:type="dxa"/>
            <w:hideMark/>
          </w:tcPr>
          <w:p w14:paraId="7A382AAB"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8</w:t>
            </w:r>
          </w:p>
        </w:tc>
        <w:tc>
          <w:tcPr>
            <w:tcW w:w="3533" w:type="dxa"/>
            <w:hideMark/>
          </w:tcPr>
          <w:p w14:paraId="57C9CC38"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Monitoring Efek Samping Obat</w:t>
            </w:r>
          </w:p>
        </w:tc>
        <w:tc>
          <w:tcPr>
            <w:tcW w:w="1381" w:type="dxa"/>
            <w:hideMark/>
          </w:tcPr>
          <w:p w14:paraId="73AC61F9"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5</w:t>
            </w:r>
          </w:p>
        </w:tc>
        <w:tc>
          <w:tcPr>
            <w:tcW w:w="1025" w:type="dxa"/>
            <w:hideMark/>
          </w:tcPr>
          <w:p w14:paraId="3737814C"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0</w:t>
            </w:r>
          </w:p>
        </w:tc>
        <w:tc>
          <w:tcPr>
            <w:tcW w:w="1356" w:type="dxa"/>
            <w:hideMark/>
          </w:tcPr>
          <w:p w14:paraId="6768138E"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0</w:t>
            </w:r>
          </w:p>
        </w:tc>
        <w:tc>
          <w:tcPr>
            <w:tcW w:w="1356" w:type="dxa"/>
            <w:hideMark/>
          </w:tcPr>
          <w:p w14:paraId="1EC30B59"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Kurang</w:t>
            </w:r>
          </w:p>
        </w:tc>
      </w:tr>
      <w:tr w:rsidR="008F230A" w:rsidRPr="008F230A" w14:paraId="2CDB1698" w14:textId="77777777" w:rsidTr="003F656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313BC531"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9</w:t>
            </w:r>
          </w:p>
        </w:tc>
        <w:tc>
          <w:tcPr>
            <w:tcW w:w="3533" w:type="dxa"/>
            <w:shd w:val="clear" w:color="auto" w:fill="EAF1DD" w:themeFill="accent3" w:themeFillTint="33"/>
            <w:hideMark/>
          </w:tcPr>
          <w:p w14:paraId="5D08C5A3"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Evaluasi Penggunaan Obat</w:t>
            </w:r>
          </w:p>
        </w:tc>
        <w:tc>
          <w:tcPr>
            <w:tcW w:w="1381" w:type="dxa"/>
            <w:shd w:val="clear" w:color="auto" w:fill="EAF1DD" w:themeFill="accent3" w:themeFillTint="33"/>
            <w:hideMark/>
          </w:tcPr>
          <w:p w14:paraId="3492DA14"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025" w:type="dxa"/>
            <w:shd w:val="clear" w:color="auto" w:fill="EAF1DD" w:themeFill="accent3" w:themeFillTint="33"/>
            <w:hideMark/>
          </w:tcPr>
          <w:p w14:paraId="00C4FF45"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shd w:val="clear" w:color="auto" w:fill="EAF1DD" w:themeFill="accent3" w:themeFillTint="33"/>
            <w:hideMark/>
          </w:tcPr>
          <w:p w14:paraId="2081B0EB"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66</w:t>
            </w:r>
          </w:p>
        </w:tc>
        <w:tc>
          <w:tcPr>
            <w:tcW w:w="1356" w:type="dxa"/>
            <w:shd w:val="clear" w:color="auto" w:fill="EAF1DD" w:themeFill="accent3" w:themeFillTint="33"/>
            <w:hideMark/>
          </w:tcPr>
          <w:p w14:paraId="2A6CD95A"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Baik</w:t>
            </w:r>
          </w:p>
        </w:tc>
      </w:tr>
      <w:tr w:rsidR="008F230A" w:rsidRPr="008F230A" w14:paraId="2F8D2653" w14:textId="77777777" w:rsidTr="008F230A">
        <w:trPr>
          <w:trHeight w:val="231"/>
        </w:trPr>
        <w:tc>
          <w:tcPr>
            <w:cnfStyle w:val="001000000000" w:firstRow="0" w:lastRow="0" w:firstColumn="1" w:lastColumn="0" w:oddVBand="0" w:evenVBand="0" w:oddHBand="0" w:evenHBand="0" w:firstRowFirstColumn="0" w:firstRowLastColumn="0" w:lastRowFirstColumn="0" w:lastRowLastColumn="0"/>
            <w:tcW w:w="528" w:type="dxa"/>
            <w:hideMark/>
          </w:tcPr>
          <w:p w14:paraId="6BFE8C96"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10</w:t>
            </w:r>
          </w:p>
        </w:tc>
        <w:tc>
          <w:tcPr>
            <w:tcW w:w="3533" w:type="dxa"/>
            <w:hideMark/>
          </w:tcPr>
          <w:p w14:paraId="1F644401"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Dispensing Sediaan Steril</w:t>
            </w:r>
          </w:p>
        </w:tc>
        <w:tc>
          <w:tcPr>
            <w:tcW w:w="1381" w:type="dxa"/>
            <w:hideMark/>
          </w:tcPr>
          <w:p w14:paraId="64918CA3"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4</w:t>
            </w:r>
          </w:p>
        </w:tc>
        <w:tc>
          <w:tcPr>
            <w:tcW w:w="1025" w:type="dxa"/>
            <w:hideMark/>
          </w:tcPr>
          <w:p w14:paraId="3ECD44D9"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3</w:t>
            </w:r>
          </w:p>
        </w:tc>
        <w:tc>
          <w:tcPr>
            <w:tcW w:w="1356" w:type="dxa"/>
            <w:hideMark/>
          </w:tcPr>
          <w:p w14:paraId="63D7076E"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75</w:t>
            </w:r>
          </w:p>
        </w:tc>
        <w:tc>
          <w:tcPr>
            <w:tcW w:w="1356" w:type="dxa"/>
            <w:hideMark/>
          </w:tcPr>
          <w:p w14:paraId="4B44F58E"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Baik</w:t>
            </w:r>
          </w:p>
        </w:tc>
      </w:tr>
      <w:tr w:rsidR="008F230A" w:rsidRPr="008F230A" w14:paraId="38D2C359" w14:textId="77777777" w:rsidTr="003F6561">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28" w:type="dxa"/>
            <w:shd w:val="clear" w:color="auto" w:fill="EAF1DD" w:themeFill="accent3" w:themeFillTint="33"/>
            <w:hideMark/>
          </w:tcPr>
          <w:p w14:paraId="5503FA8B" w14:textId="77777777" w:rsidR="008F230A" w:rsidRPr="008F230A" w:rsidRDefault="008F230A" w:rsidP="007E797E">
            <w:pPr>
              <w:jc w:val="center"/>
              <w:rPr>
                <w:rFonts w:ascii="Times New Roman" w:hAnsi="Times New Roman" w:cs="Times New Roman"/>
                <w:b w:val="0"/>
                <w:bCs w:val="0"/>
                <w:color w:val="000000" w:themeColor="text1"/>
              </w:rPr>
            </w:pPr>
            <w:r w:rsidRPr="008F230A">
              <w:rPr>
                <w:rFonts w:ascii="Times New Roman" w:hAnsi="Times New Roman" w:cs="Times New Roman"/>
                <w:b w:val="0"/>
                <w:bCs w:val="0"/>
                <w:color w:val="000000" w:themeColor="text1"/>
              </w:rPr>
              <w:t>11</w:t>
            </w:r>
          </w:p>
        </w:tc>
        <w:tc>
          <w:tcPr>
            <w:tcW w:w="3533" w:type="dxa"/>
            <w:shd w:val="clear" w:color="auto" w:fill="EAF1DD" w:themeFill="accent3" w:themeFillTint="33"/>
            <w:hideMark/>
          </w:tcPr>
          <w:p w14:paraId="14AF8FC6" w14:textId="77777777" w:rsidR="008F230A" w:rsidRPr="008F230A" w:rsidRDefault="008F230A" w:rsidP="007E79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Pemantauan Kadar Obat Dalam darah</w:t>
            </w:r>
          </w:p>
        </w:tc>
        <w:tc>
          <w:tcPr>
            <w:tcW w:w="1381" w:type="dxa"/>
            <w:shd w:val="clear" w:color="auto" w:fill="EAF1DD" w:themeFill="accent3" w:themeFillTint="33"/>
            <w:hideMark/>
          </w:tcPr>
          <w:p w14:paraId="2E2B5A46"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025" w:type="dxa"/>
            <w:shd w:val="clear" w:color="auto" w:fill="EAF1DD" w:themeFill="accent3" w:themeFillTint="33"/>
            <w:hideMark/>
          </w:tcPr>
          <w:p w14:paraId="503303E0"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2</w:t>
            </w:r>
          </w:p>
        </w:tc>
        <w:tc>
          <w:tcPr>
            <w:tcW w:w="1356" w:type="dxa"/>
            <w:shd w:val="clear" w:color="auto" w:fill="EAF1DD" w:themeFill="accent3" w:themeFillTint="33"/>
            <w:hideMark/>
          </w:tcPr>
          <w:p w14:paraId="5028770D"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100</w:t>
            </w:r>
          </w:p>
        </w:tc>
        <w:tc>
          <w:tcPr>
            <w:tcW w:w="1356" w:type="dxa"/>
            <w:shd w:val="clear" w:color="auto" w:fill="EAF1DD" w:themeFill="accent3" w:themeFillTint="33"/>
            <w:hideMark/>
          </w:tcPr>
          <w:p w14:paraId="3B6BFCEC" w14:textId="77777777" w:rsidR="008F230A" w:rsidRPr="008F230A" w:rsidRDefault="008F230A" w:rsidP="007E7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30A">
              <w:rPr>
                <w:rFonts w:ascii="Times New Roman" w:hAnsi="Times New Roman" w:cs="Times New Roman"/>
                <w:color w:val="000000" w:themeColor="text1"/>
              </w:rPr>
              <w:t>Sangat Baik</w:t>
            </w:r>
          </w:p>
        </w:tc>
      </w:tr>
      <w:tr w:rsidR="008F230A" w:rsidRPr="008F230A" w14:paraId="00E58EB3" w14:textId="77777777" w:rsidTr="008F230A">
        <w:trPr>
          <w:trHeight w:val="245"/>
        </w:trPr>
        <w:tc>
          <w:tcPr>
            <w:cnfStyle w:val="001000000000" w:firstRow="0" w:lastRow="0" w:firstColumn="1" w:lastColumn="0" w:oddVBand="0" w:evenVBand="0" w:oddHBand="0" w:evenHBand="0" w:firstRowFirstColumn="0" w:firstRowLastColumn="0" w:lastRowFirstColumn="0" w:lastRowLastColumn="0"/>
            <w:tcW w:w="528" w:type="dxa"/>
          </w:tcPr>
          <w:p w14:paraId="089D1077" w14:textId="77777777" w:rsidR="008F230A" w:rsidRPr="008F230A" w:rsidRDefault="008F230A" w:rsidP="007E797E">
            <w:pPr>
              <w:jc w:val="center"/>
              <w:rPr>
                <w:rFonts w:ascii="Times New Roman" w:hAnsi="Times New Roman" w:cs="Times New Roman"/>
                <w:color w:val="000000" w:themeColor="text1"/>
              </w:rPr>
            </w:pPr>
          </w:p>
        </w:tc>
        <w:tc>
          <w:tcPr>
            <w:tcW w:w="3533" w:type="dxa"/>
          </w:tcPr>
          <w:p w14:paraId="0C8D64A0" w14:textId="77777777" w:rsidR="008F230A" w:rsidRPr="008F230A" w:rsidRDefault="008F230A" w:rsidP="007E79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381" w:type="dxa"/>
          </w:tcPr>
          <w:p w14:paraId="2759F4DD"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25" w:type="dxa"/>
          </w:tcPr>
          <w:p w14:paraId="4113989A"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356" w:type="dxa"/>
          </w:tcPr>
          <w:p w14:paraId="27D22F61"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356" w:type="dxa"/>
          </w:tcPr>
          <w:p w14:paraId="45705123" w14:textId="77777777" w:rsidR="008F230A" w:rsidRPr="008F230A" w:rsidRDefault="008F230A" w:rsidP="007E7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bl>
    <w:p w14:paraId="15719112" w14:textId="77777777" w:rsidR="008F230A" w:rsidRP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8F230A">
        <w:rPr>
          <w:rFonts w:ascii="Times New Roman" w:eastAsia="Times New Roman" w:hAnsi="Times New Roman" w:cs="Times New Roman"/>
          <w:color w:val="000000"/>
          <w:lang w:val="en-US"/>
        </w:rPr>
        <w:t>Pada Tabel 2. menunjukan bahwa hasil skoring dan penilaian pada pelayanan farmasi klinis di unit Instalasi Farmasi Rawat Inap dan Rawat Jalan RSUD Praya Kabupaten Lombok Tengah sudah dilaksanakan mengacu pada standar pelayanan farmasi menurut Permenkes No.72 tahun 2016, dimana terdapat 11 aspek pelayanan dalam farmasi klinis. Hasil penilaian kesesuaian penerapan standar Permenkes No.72 tahun 2016 di Instalasi Farmasi Rawat Inap RSUD Praya Kabupaten Lombok Tengah terlihat bahwa pelayanan farmasi klinis yang mengacu pada</w:t>
      </w:r>
      <w:r>
        <w:rPr>
          <w:rFonts w:ascii="Times New Roman" w:eastAsia="Times New Roman" w:hAnsi="Times New Roman" w:cs="Times New Roman"/>
          <w:color w:val="000000"/>
          <w:lang w:val="en-US"/>
        </w:rPr>
        <w:t xml:space="preserve"> </w:t>
      </w:r>
      <w:r w:rsidRPr="008F230A">
        <w:rPr>
          <w:rFonts w:ascii="Times New Roman" w:eastAsia="Times New Roman" w:hAnsi="Times New Roman" w:cs="Times New Roman"/>
          <w:color w:val="000000"/>
          <w:lang w:val="en-US"/>
        </w:rPr>
        <w:t xml:space="preserve">standar pelayanan farmasi di RS belum terlaksana secara maksimal, dikarenakan masih terdapat 4 aspek pelayanan yang nilai persentase kesesuaiannyaberda di bawah 100% yaitu: moni toring efek samping obat sebesar 80% kategori baik, dispensing sediaan steril sebesar 75% kategori baik dan evaluasi penggunaan obat serta penelusuran riwayat obat sebesar 66% kategori baik, Sedangkan untuk 7 aspek pelayanana farmasi klinis lainnya berada pada kategori baik sekali dengan nilai presentase sebesar 100%. </w:t>
      </w:r>
    </w:p>
    <w:p w14:paraId="40D7211A" w14:textId="77777777" w:rsidR="008F230A" w:rsidRPr="008F230A" w:rsidRDefault="008F230A" w:rsidP="008F230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US"/>
        </w:rPr>
      </w:pPr>
      <w:r w:rsidRPr="008F230A">
        <w:rPr>
          <w:rFonts w:ascii="Times New Roman" w:eastAsia="Times New Roman" w:hAnsi="Times New Roman" w:cs="Times New Roman"/>
          <w:color w:val="000000"/>
          <w:lang w:val="en-US"/>
        </w:rPr>
        <w:t xml:space="preserve">Ketidakmaksimalan pelayanan pada aspek dispensing sediaan steril dikarenakan keterbatasan jumlah tenaga farmasis atau apoteker yang terlatih dan berpengalaman dalam melakukan dispensing sediaan steril di RSUD Praya Kabupaten Lombok Tengah. Seperti yang telah diketahui sediaan steril </w:t>
      </w:r>
      <w:r w:rsidRPr="008F230A">
        <w:rPr>
          <w:rFonts w:ascii="Times New Roman" w:eastAsia="Times New Roman" w:hAnsi="Times New Roman" w:cs="Times New Roman"/>
          <w:color w:val="000000"/>
          <w:lang w:val="en-US"/>
        </w:rPr>
        <w:lastRenderedPageBreak/>
        <w:t xml:space="preserve">merupakan salah satu sediaan yang penangannya dibutuhkan tenaga farmasis yang terlatih dan menguasai prosedur dispensing sediaan steril </w:t>
      </w:r>
      <w:r w:rsidRPr="008F230A">
        <w:rPr>
          <w:rFonts w:ascii="Times New Roman" w:eastAsia="Times New Roman" w:hAnsi="Times New Roman" w:cs="Times New Roman"/>
          <w:color w:val="000000"/>
          <w:lang w:val="en-US"/>
        </w:rPr>
        <w:fldChar w:fldCharType="begin" w:fldLock="1"/>
      </w:r>
      <w:r w:rsidRPr="008F230A">
        <w:rPr>
          <w:rFonts w:ascii="Times New Roman" w:eastAsia="Times New Roman" w:hAnsi="Times New Roman" w:cs="Times New Roman"/>
          <w:color w:val="000000"/>
          <w:lang w:val="en-US"/>
        </w:rPr>
        <w:instrText>ADDIN CSL_CITATION {"citationItems":[{"id":"ITEM-1","itemData":{"author":[{"dropping-particle":"","family":"Sari","given":"Retno","non-dropping-particle":"","parse-names":false,"suffix":""},{"dropping-particle":"","family":"Isadiartuti","given":"Dewi","non-dropping-particle":"","parse-names":false,"suffix":""},{"dropping-particle":"","family":"Agus","given":"Muhammad","non-dropping-particle":"","parse-names":false,"suffix":""},{"dropping-particle":"","family":"Rijal","given":"Syamsur","non-dropping-particle":"","parse-names":false,"suffix":""},{"dropping-particle":"","family":"Retnowati","given":"Dini","non-dropping-particle":"","parse-names":false,"suffix":""},{"dropping-particle":"","family":"Monika","given":"Dinda","non-dropping-particle":"","parse-names":false,"suffix":""},{"dropping-particle":"","family":"Ratri","given":"Nusantara","non-dropping-particle":"","parse-names":false,"suffix":""},{"dropping-particle":"","family":"Diyah","given":"Nuzul Wahyuning","non-dropping-particle":"","parse-names":false,"suffix":""},{"dropping-particle":"","family":"Wahyuni","given":"Tutik Sri","non-dropping-particle":"","parse-names":false,"suffix":""}],"id":"ITEM-1","issue":"1","issued":{"date-parts":[["2023"]]},"page":"114-122","title":"PHARMACIST COMPETENCY IMPROVEMENT IN STERILE DISPENSING AT HEALTH FACILITY SERVICES IN LAMPUNG PENINGKATAN KOMPETENSI APOTEKER DALAM PENANGANAN SEDIAAN STERIL PADA FASILITAS KESEHATAN DI LAMPUNG Departemen Ilmu Kefarmasian , Fakultas Farmasi , Universitas Airlangga Departemen Farmasi Praktis , Fakultas Farmasi , Universitas Airlangga penduduk terbanyak di kota Bandar Lampung . Dari data pada tahun 2019 , fasilitas kesehatan yang terdapat di Lampung meliputi 62 rumah sakit , 27 rumah sakit bersalin , 360 poliklinik dan 336 puskesmas serta terdapat 373 apotek . Jumlah tenaga apoteker di fasilitas kesehatan pada tahun 2020 tercatat sejumlah 316 orang , terbanyak di kabupaten Bandar Lampung sejumlah 84 orang . Kota Bandar Lampung dengan luas wilayah 197 , 22 km 2 dengan jumlah RSU swasta dan daerah 10 buah . Sebagai wilayah terpadat di Lampung , Bandar Lampung memiliki fasilitas kesehatan dengan jumlah tertinggi . Peran apoteker di fasilitas kesehatan dalam pelayanan kefarmasian dan penggunaan obat sangat penting baik di rumah sakit dan fasilitas kesehatan lainnya ( Badan Pusat Statistik Provinsi Lampung , 2021 ).","type":"article-journal","volume":"7"},"uris":["http://www.mendeley.com/documents/?uuid=a34914f1-19dc-4cdc-86ad-b3eb0debd399"]}],"mendeley":{"formattedCitation":"(Sari et al., 2023)","plainTextFormattedCitation":"(Sari et al., 2023)","previouslyFormattedCitation":"(Sari et al., 2023)"},"properties":{"noteIndex":0},"schema":"https://github.com/citation-style-language/schema/raw/master/csl-citation.json"}</w:instrText>
      </w:r>
      <w:r w:rsidRPr="008F230A">
        <w:rPr>
          <w:rFonts w:ascii="Times New Roman" w:eastAsia="Times New Roman" w:hAnsi="Times New Roman" w:cs="Times New Roman"/>
          <w:color w:val="000000"/>
          <w:lang w:val="en-US"/>
        </w:rPr>
        <w:fldChar w:fldCharType="separate"/>
      </w:r>
      <w:r w:rsidRPr="008F230A">
        <w:rPr>
          <w:rFonts w:ascii="Times New Roman" w:eastAsia="Times New Roman" w:hAnsi="Times New Roman" w:cs="Times New Roman"/>
          <w:color w:val="000000"/>
          <w:lang w:val="en-US"/>
        </w:rPr>
        <w:t>(Sari et al., 2023)</w:t>
      </w:r>
      <w:r w:rsidRPr="008F230A">
        <w:rPr>
          <w:rFonts w:ascii="Times New Roman" w:eastAsia="Times New Roman" w:hAnsi="Times New Roman" w:cs="Times New Roman"/>
          <w:color w:val="000000"/>
          <w:lang w:val="en-US"/>
        </w:rPr>
        <w:fldChar w:fldCharType="end"/>
      </w:r>
      <w:r w:rsidRPr="008F230A">
        <w:rPr>
          <w:rFonts w:ascii="Times New Roman" w:eastAsia="Times New Roman" w:hAnsi="Times New Roman" w:cs="Times New Roman"/>
          <w:color w:val="000000"/>
          <w:lang w:val="en-US"/>
        </w:rPr>
        <w:t xml:space="preserve">. Pemantauan efek samping di RSUD Praya Kabupaten Lombok Tengah belum dilakukan dalam kondisi ideal, dimana rumah sakit hanya mendeteksi efek samping obat, mengevaluasi laporan efek samping obat, serta membahas dan mendokumentasikan metode pengobatan efek samping obat, namun evaluasi laporan efek samping obat tidak dilakukan oleh tenaga farmasi yang seharusnya bertanggung jawab atas semua kasus reaksi merugikan obat. Hal serupa juga berlaku pada evaluasi penggunaan obat yang pelayanannya belum dilakukan secara berkala dan maksimal, selain dikarenakan keterbatasan jumlah tenaga kefarmasian baik apoteker maupun tenaga teknis kefarmasian kesibukan administrasi juga menjadi penyebabnya. Sehingga evaluasi penggunaan obat lebih sering didelegasikan ke tenaga kesehatan lain seperti perawat melalui arahan farmasis. Hal serupa juga dikemukakan oleh Melinda </w:t>
      </w:r>
      <w:r w:rsidRPr="008F230A">
        <w:rPr>
          <w:rFonts w:ascii="Times New Roman" w:eastAsia="Times New Roman" w:hAnsi="Times New Roman" w:cs="Times New Roman"/>
          <w:i/>
          <w:iCs/>
          <w:color w:val="000000"/>
          <w:lang w:val="en-US"/>
        </w:rPr>
        <w:t>et all.</w:t>
      </w:r>
      <w:r w:rsidRPr="008F230A">
        <w:rPr>
          <w:rFonts w:ascii="Times New Roman" w:eastAsia="Times New Roman" w:hAnsi="Times New Roman" w:cs="Times New Roman"/>
          <w:color w:val="000000"/>
          <w:lang w:val="en-US"/>
        </w:rPr>
        <w:t xml:space="preserve"> dalam penelitiannya menyatakan bahwa praktik kefarmasian saat ini bergantung pada ruang lingkup praktik apoteker, keragaman populasi pasien yang dilayani apoteker, kompleksitas pelayanan pasien, dan  berbagai  aspek praktik kefarmasian. Dengan berubahnya cara pandang mengenai peran apoteker yang fokus pada pasien, maka cakupan lingkup pelayanan kefarmasian semakin meluas sehingga memerlukan kolaborasi dan  koordinasi dengan tenaga kesehatan lainnya </w:t>
      </w:r>
      <w:r w:rsidRPr="008F230A">
        <w:rPr>
          <w:rFonts w:ascii="Times New Roman" w:eastAsia="Times New Roman" w:hAnsi="Times New Roman" w:cs="Times New Roman"/>
          <w:color w:val="000000"/>
          <w:lang w:val="en-US"/>
        </w:rPr>
        <w:fldChar w:fldCharType="begin" w:fldLock="1"/>
      </w:r>
      <w:r w:rsidRPr="008F230A">
        <w:rPr>
          <w:rFonts w:ascii="Times New Roman" w:eastAsia="Times New Roman" w:hAnsi="Times New Roman" w:cs="Times New Roman"/>
          <w:color w:val="000000"/>
          <w:lang w:val="en-US"/>
        </w:rPr>
        <w:instrText>ADDIN CSL_CITATION {"citationItems":[{"id":"ITEM-1","itemData":{"DOI":"https://doi.org/10.52643/marsi.v3i2.535","abstract":"In supporting the implementation of pharmacy and drug use service quality at Kartika Husada Jati Asih Hospital, the presence of Pharmacists is an important role in carrying out the function of Pharmacy Installation. As a reference, Permenkes No.72 of 2016 concerning Hospital Pharmacy Service Standards that the role of Pharmacists includes 2 main roles, namely as managerial roles and the role of clinical pharmacy services. Based on the problems found in the field that prescription studies have not been fully carried out by Pharmacists and medication error rates are still&gt; 2%, this study was conducted with the aim of knowing pharmaceutical and drug use service systems and the role of Pharmacists in improving the quality of pharmacy and drug use services at Kartika Hospital Husada Jati Asih. This research is qualitative analytic. Data is taken through interviews with informants related to the process of pharmacy services, observation and document review. The study was conducted at the Kartika Husada Jati Jati Hospital Pharmacy Installation. The variables examined by the role of Pharmacists in carrying out the planning, procurement, control, service and prescription assessment processes. The number of informants in this study were 5 people. The results showed that the role of pharmacists in the management of pharmaceutical service systems did not meet the good standards set by hospitals and legislation, so the need for regular training for all pharmacists on pharmaceutical logistics management, clinical pharmacy, activating the role of the Pharmacy and Therapy Committee .","author":[{"dropping-particle":"","family":"Melinda","given":"","non-dropping-particle":"","parse-names":false,"suffix":""},{"dropping-particle":"","family":"Dewi","given":"Sandra","non-dropping-particle":"","parse-names":false,"suffix":""},{"dropping-particle":"","family":"Hutapea","given":"R Fresley","non-dropping-particle":"","parse-names":false,"suffix":""}],"container-title":"Jurnal Manajemen dan Administrasi Rumah Sakit Indonesia (MARSI)","id":"ITEM-1","issue":"2","issued":{"date-parts":[["2019"]]},"page":"102-112","title":"Evaluasi Peran Apoteker Dalam Meningkatkan Mutu Pelayanan Kefarmasian Dan Penggunaan Obat Di RS Kartika Husada","type":"article-journal","volume":"3"},"uris":["http://www.mendeley.com/documents/?uuid=f0f3aa84-004f-4bf1-85f5-f6180f60cd8e"]}],"mendeley":{"formattedCitation":"(Melinda et al., 2019)","plainTextFormattedCitation":"(Melinda et al., 2019)","previouslyFormattedCitation":"(Melinda et al., 2019)"},"properties":{"noteIndex":0},"schema":"https://github.com/citation-style-language/schema/raw/master/csl-citation.json"}</w:instrText>
      </w:r>
      <w:r w:rsidRPr="008F230A">
        <w:rPr>
          <w:rFonts w:ascii="Times New Roman" w:eastAsia="Times New Roman" w:hAnsi="Times New Roman" w:cs="Times New Roman"/>
          <w:color w:val="000000"/>
          <w:lang w:val="en-US"/>
        </w:rPr>
        <w:fldChar w:fldCharType="separate"/>
      </w:r>
      <w:r w:rsidRPr="008F230A">
        <w:rPr>
          <w:rFonts w:ascii="Times New Roman" w:eastAsia="Times New Roman" w:hAnsi="Times New Roman" w:cs="Times New Roman"/>
          <w:color w:val="000000"/>
          <w:lang w:val="en-US"/>
        </w:rPr>
        <w:t>(Melinda et al., 2019)</w:t>
      </w:r>
      <w:r w:rsidRPr="008F230A">
        <w:rPr>
          <w:rFonts w:ascii="Times New Roman" w:eastAsia="Times New Roman" w:hAnsi="Times New Roman" w:cs="Times New Roman"/>
          <w:color w:val="000000"/>
          <w:lang w:val="en-US"/>
        </w:rPr>
        <w:fldChar w:fldCharType="end"/>
      </w:r>
      <w:r w:rsidRPr="008F230A">
        <w:rPr>
          <w:rFonts w:ascii="Times New Roman" w:eastAsia="Times New Roman" w:hAnsi="Times New Roman" w:cs="Times New Roman"/>
          <w:color w:val="000000"/>
          <w:lang w:val="en-US"/>
        </w:rPr>
        <w:t>.</w:t>
      </w:r>
    </w:p>
    <w:p w14:paraId="7B60257B" w14:textId="77777777" w:rsidR="008F230A" w:rsidRP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8F230A">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sidRPr="008F230A">
        <w:rPr>
          <w:rFonts w:ascii="Times New Roman" w:eastAsia="Times New Roman" w:hAnsi="Times New Roman" w:cs="Times New Roman"/>
          <w:color w:val="000000"/>
          <w:lang w:val="en-US"/>
        </w:rPr>
        <w:t xml:space="preserve">Pelayanan farmasis klinis di unit instalasi farmasi rawat jalan RSUD Praya Lombok tengah pada Tabel 2 menunjukkan bahwa terdapat 2 aspek layanan yang berada pada kategori sangat kurang dengan nilai persentase sebesar 0% yaitu </w:t>
      </w:r>
      <w:r w:rsidRPr="008F230A">
        <w:rPr>
          <w:rFonts w:ascii="Times New Roman" w:eastAsia="Times New Roman" w:hAnsi="Times New Roman" w:cs="Times New Roman"/>
          <w:i/>
          <w:iCs/>
          <w:color w:val="000000"/>
          <w:lang w:val="en-US"/>
        </w:rPr>
        <w:t xml:space="preserve">visite </w:t>
      </w:r>
      <w:r w:rsidRPr="008F230A">
        <w:rPr>
          <w:rFonts w:ascii="Times New Roman" w:eastAsia="Times New Roman" w:hAnsi="Times New Roman" w:cs="Times New Roman"/>
          <w:color w:val="000000"/>
          <w:lang w:val="en-US"/>
        </w:rPr>
        <w:t xml:space="preserve">dan monitoring efek samping obat. Kategori kurang baik dengan persentase kesesuaian sebesar 30% untuk aspek pelayanan pemantauan terapi obat, selanjutnya kategori baik dengan perolehan nilai persentase sebesar 75% untuk dispensing sediaan steril dan 66% untuk penelusuran riwayat penggunaan obat dan evaluasi penggunaan obat. Pada rawat inap untuk kegiatan </w:t>
      </w:r>
      <w:r w:rsidRPr="008F230A">
        <w:rPr>
          <w:rFonts w:ascii="Times New Roman" w:eastAsia="Times New Roman" w:hAnsi="Times New Roman" w:cs="Times New Roman"/>
          <w:i/>
          <w:iCs/>
          <w:color w:val="000000"/>
          <w:lang w:val="en-US"/>
        </w:rPr>
        <w:t xml:space="preserve">visite </w:t>
      </w:r>
      <w:r w:rsidRPr="008F230A">
        <w:rPr>
          <w:rFonts w:ascii="Times New Roman" w:eastAsia="Times New Roman" w:hAnsi="Times New Roman" w:cs="Times New Roman"/>
          <w:color w:val="000000"/>
          <w:lang w:val="en-US"/>
        </w:rPr>
        <w:t xml:space="preserve">oleh petugas farmasi klinis  memang tidak pernah dilakukan di unit rawat jalan, karena kondisi proses pengobatan yang dilakukan oleh pasien tidak menginap atau langsung pulang sehingga kegiatan </w:t>
      </w:r>
      <w:r w:rsidRPr="008F230A">
        <w:rPr>
          <w:rFonts w:ascii="Times New Roman" w:eastAsia="Times New Roman" w:hAnsi="Times New Roman" w:cs="Times New Roman"/>
          <w:i/>
          <w:iCs/>
          <w:color w:val="000000"/>
          <w:lang w:val="en-US"/>
        </w:rPr>
        <w:t xml:space="preserve">visite </w:t>
      </w:r>
      <w:r w:rsidRPr="008F230A">
        <w:rPr>
          <w:rFonts w:ascii="Times New Roman" w:eastAsia="Times New Roman" w:hAnsi="Times New Roman" w:cs="Times New Roman"/>
          <w:color w:val="000000"/>
          <w:lang w:val="en-US"/>
        </w:rPr>
        <w:t xml:space="preserve"> dan pemantauan terapi obat tidak dilakukan melainkan hanya diberikan informasi terkait pengobatan pasien melalui PIO. Kendala yang dialami pada aspek pelayanan penelusuran riwayat penggunaan obat dan evaluasi penggunaan obat sehingga aspek ini belum maksimal yaitu dikarenakan terbatasnya jumlah apoteker atau tenaga farmasi di unit rawat jalan, dimana unit rawat jalan melayani resep yang berasal dari poli rawat jalan dengan jumlah pasien yang cukup banyak sehingga menyebabkan keterbatasan waktu untuk melayani pasien secara maksiamal </w:t>
      </w:r>
      <w:r w:rsidRPr="008F230A">
        <w:rPr>
          <w:rFonts w:ascii="Times New Roman" w:eastAsia="Times New Roman" w:hAnsi="Times New Roman" w:cs="Times New Roman"/>
          <w:color w:val="000000"/>
          <w:lang w:val="en-US"/>
        </w:rPr>
        <w:fldChar w:fldCharType="begin" w:fldLock="1"/>
      </w:r>
      <w:r w:rsidRPr="008F230A">
        <w:rPr>
          <w:rFonts w:ascii="Times New Roman" w:eastAsia="Times New Roman" w:hAnsi="Times New Roman" w:cs="Times New Roman"/>
          <w:color w:val="000000"/>
          <w:lang w:val="en-US"/>
        </w:rPr>
        <w:instrText>ADDIN CSL_CITATION {"citationItems":[{"id":"ITEM-1","itemData":{"abstract":"Pelayanan farmasi rumah sakit adalah bagian yang tidak dapat dipisahkan dari sistem pelayanan kesehatan rumah sakit. Pelayanan farmasi klinis merupakan pelayanan yang berinteraksi dengan pasien secara langsung dengan dibantu oleh tim kesehatan lainnya untuk meningkatkan kualitas terapi obat. Penelitian ini bertujuan untuk mengetahui gambaran penerapan standar pelayanan farmasi klinis di RSUD Ade M. Djoen berdasarkan Permenkes Nomor 72 tahun 2016. Penelitian ini merupakan penelitian yang bersifat deskriptif. . Metode yang digunakan yaitu metode cross sectional. Pengumpulan data pada penelitian ini menggunakan wawancara langsung. Hasil penelitian menunjukan bahwa berdasarkan penelitian di RSUD Ade M. Djoen baru melaksanakan pelayanan farmasi klinis yaitu pengkajian dan pelayanan resep pelayanan informasi obat, rekonsiliasi obat, konseling (pasien vip), dan visite (pasien vip). Hal ini dikarenakan kurangnya jumlah Apoteker di Rumah Sakit. Jumlah apoteker yang masih terbilang sedikit menyebabkan belum bisa terlaksana nya pelayanan farmasi klinis secara maksimal. Kesimpulannya RSUD Ade Muhammad Djoen Kabupaten Sintang baru melaksanakan 55,56 % pelayanan farmasi klinis dari 11 aspek yang diatur dalam Permenkes Nomor 72 Tahun 2016.","author":[{"dropping-particle":"","family":"Lolita","given":"Deti","non-dropping-particle":"","parse-names":false,"suffix":""},{"dropping-particle":"","family":"Yuswar","given":"M.Akib","non-dropping-particle":"","parse-names":false,"suffix":""},{"dropping-particle":"","family":"Untari","given":"Eka Kartika","non-dropping-particle":"","parse-names":false,"suffix":""}],"container-title":"Jurnal Mahasiswa Farmasi Fakultas Kedokteran UNTAN","id":"ITEM-1","issue":"1","issued":{"date-parts":[["2019"]]},"title":"PENERAPAN PELAYANAN FARMASI KLINIS DI RSUD ADE MUHAMMAD DJOEN KABUPATEN SINTANG TAHUN 2018 BERDASARKAN PERATURAN MENTERI KESEHATAN REPUBLIK INDONESIA NOMOR 72 Tahun 2016","type":"article-journal","volume":"4"},"uris":["http://www.mendeley.com/documents/?uuid=22416678-f895-4391-b7f4-3e2b06699f89"]}],"mendeley":{"formattedCitation":"(Lolita et al., 2019)","plainTextFormattedCitation":"(Lolita et al., 2019)","previouslyFormattedCitation":"(Lolita et al., 2019)"},"properties":{"noteIndex":0},"schema":"https://github.com/citation-style-language/schema/raw/master/csl-citation.json"}</w:instrText>
      </w:r>
      <w:r w:rsidRPr="008F230A">
        <w:rPr>
          <w:rFonts w:ascii="Times New Roman" w:eastAsia="Times New Roman" w:hAnsi="Times New Roman" w:cs="Times New Roman"/>
          <w:color w:val="000000"/>
          <w:lang w:val="en-US"/>
        </w:rPr>
        <w:fldChar w:fldCharType="separate"/>
      </w:r>
      <w:r w:rsidRPr="008F230A">
        <w:rPr>
          <w:rFonts w:ascii="Times New Roman" w:eastAsia="Times New Roman" w:hAnsi="Times New Roman" w:cs="Times New Roman"/>
          <w:color w:val="000000"/>
          <w:lang w:val="en-US"/>
        </w:rPr>
        <w:t>(Lolita et al., 2019)</w:t>
      </w:r>
      <w:r w:rsidRPr="008F230A">
        <w:rPr>
          <w:rFonts w:ascii="Times New Roman" w:eastAsia="Times New Roman" w:hAnsi="Times New Roman" w:cs="Times New Roman"/>
          <w:color w:val="000000"/>
          <w:lang w:val="en-US"/>
        </w:rPr>
        <w:fldChar w:fldCharType="end"/>
      </w:r>
      <w:r w:rsidRPr="008F230A">
        <w:rPr>
          <w:rFonts w:ascii="Times New Roman" w:eastAsia="Times New Roman" w:hAnsi="Times New Roman" w:cs="Times New Roman"/>
          <w:color w:val="000000"/>
          <w:lang w:val="en-US"/>
        </w:rPr>
        <w:t xml:space="preserve">. Sejalan denga penelitian yang dilakukan oleh Djamaluddin </w:t>
      </w:r>
      <w:r w:rsidRPr="008F230A">
        <w:rPr>
          <w:rFonts w:ascii="Times New Roman" w:eastAsia="Times New Roman" w:hAnsi="Times New Roman" w:cs="Times New Roman"/>
          <w:i/>
          <w:iCs/>
          <w:color w:val="000000"/>
          <w:lang w:val="en-US"/>
        </w:rPr>
        <w:t>et all</w:t>
      </w:r>
      <w:r w:rsidRPr="008F230A">
        <w:rPr>
          <w:rFonts w:ascii="Times New Roman" w:eastAsia="Times New Roman" w:hAnsi="Times New Roman" w:cs="Times New Roman"/>
          <w:color w:val="000000"/>
          <w:lang w:val="en-US"/>
        </w:rPr>
        <w:t xml:space="preserve"> bahwa kegiatan </w:t>
      </w:r>
      <w:r w:rsidRPr="008F230A">
        <w:rPr>
          <w:rFonts w:ascii="Times New Roman" w:eastAsia="Times New Roman" w:hAnsi="Times New Roman" w:cs="Times New Roman"/>
          <w:i/>
          <w:iCs/>
          <w:color w:val="000000"/>
          <w:lang w:val="en-US"/>
        </w:rPr>
        <w:t xml:space="preserve"> visite</w:t>
      </w:r>
      <w:r w:rsidRPr="008F230A">
        <w:rPr>
          <w:rFonts w:ascii="Times New Roman" w:eastAsia="Times New Roman" w:hAnsi="Times New Roman" w:cs="Times New Roman"/>
          <w:color w:val="000000"/>
          <w:lang w:val="en-US"/>
        </w:rPr>
        <w:t xml:space="preserve"> dan monitoring efek samping obat dilakukan untuk pasien yang menjalani rawat inap,</w:t>
      </w:r>
      <w:r>
        <w:rPr>
          <w:rFonts w:ascii="Times New Roman" w:eastAsia="Times New Roman" w:hAnsi="Times New Roman" w:cs="Times New Roman"/>
          <w:color w:val="000000"/>
          <w:lang w:val="en-US"/>
        </w:rPr>
        <w:t xml:space="preserve"> </w:t>
      </w:r>
      <w:r w:rsidRPr="008F230A">
        <w:rPr>
          <w:rFonts w:ascii="Times New Roman" w:eastAsia="Times New Roman" w:hAnsi="Times New Roman" w:cs="Times New Roman"/>
          <w:color w:val="000000"/>
          <w:lang w:val="en-US"/>
        </w:rPr>
        <w:t xml:space="preserve">dimana karena keterbatasan tenaga farmasi kegiatan </w:t>
      </w:r>
      <w:r w:rsidRPr="008F230A">
        <w:rPr>
          <w:rFonts w:ascii="Times New Roman" w:eastAsia="Times New Roman" w:hAnsi="Times New Roman" w:cs="Times New Roman"/>
          <w:i/>
          <w:iCs/>
          <w:color w:val="000000"/>
          <w:lang w:val="en-US"/>
        </w:rPr>
        <w:t xml:space="preserve">visite </w:t>
      </w:r>
      <w:r w:rsidRPr="008F230A">
        <w:rPr>
          <w:rFonts w:ascii="Times New Roman" w:eastAsia="Times New Roman" w:hAnsi="Times New Roman" w:cs="Times New Roman"/>
          <w:color w:val="000000"/>
          <w:lang w:val="en-US"/>
        </w:rPr>
        <w:t>dan monitoring efek samping obat</w:t>
      </w:r>
      <w:r>
        <w:rPr>
          <w:rFonts w:ascii="Times New Roman" w:eastAsia="Times New Roman" w:hAnsi="Times New Roman" w:cs="Times New Roman"/>
          <w:color w:val="000000"/>
          <w:lang w:val="en-US"/>
        </w:rPr>
        <w:t xml:space="preserve"> </w:t>
      </w:r>
      <w:r w:rsidRPr="008F230A">
        <w:rPr>
          <w:rFonts w:ascii="Times New Roman" w:eastAsia="Times New Roman" w:hAnsi="Times New Roman" w:cs="Times New Roman"/>
          <w:color w:val="000000"/>
          <w:lang w:val="en-US"/>
        </w:rPr>
        <w:t xml:space="preserve">dilakukan khusus pada pasien yang berisiko tinggi </w:t>
      </w:r>
      <w:r w:rsidRPr="008F230A">
        <w:rPr>
          <w:rFonts w:ascii="Times New Roman" w:eastAsia="Times New Roman" w:hAnsi="Times New Roman" w:cs="Times New Roman"/>
          <w:color w:val="000000"/>
          <w:lang w:val="en-US"/>
        </w:rPr>
        <w:fldChar w:fldCharType="begin" w:fldLock="1"/>
      </w:r>
      <w:r w:rsidRPr="008F230A">
        <w:rPr>
          <w:rFonts w:ascii="Times New Roman" w:eastAsia="Times New Roman" w:hAnsi="Times New Roman" w:cs="Times New Roman"/>
          <w:color w:val="000000"/>
          <w:lang w:val="en-US"/>
        </w:rPr>
        <w:instrText>ADDIN CSL_CITATION {"citationItems":[{"id":"ITEM-1","itemData":{"DOI":"https://doi.org/10.33509/jan.v25i3.923","abstract":"Clinical pharmacy service is one of the patient-oriented health services so that it needs to be done in accordance with clinical pharmacy service standards to create quality and quality services. The purpose of this study was intended to find out how compliance with Clinical Pharmacy Services at RSUP Dr. Wahidin Sudirohusodo is in accordance with eleven clinical pharmacy service indicators based on Minister of Health Regulation No. 72 of 2016. The research method uses qualitative approach. Data collection was conducted at Dr. RSUP Wahidin Sudirohusodo Makassar with in-depth interviews, observation and documentation. The research informants were the Head of Pharmacy Installation, the Person in charge of Drug Information Services, the Responsible Department of Depos, Pharmacists, and Patients. The results found that ten indicators of clinical pharmacy services were assessment and prescription services, tracking drug use history, drug reconciliation, drug information services (PIO), counseling, visite, Drug Therapy Monitoring (PTO), Monitoring of Drug Side Effects (MESO), Evaluation Drug use (EPO), dispensing sterile preparations; and Monitoring of Drug Levels in Blood (PKOD) has been carried out well although there are still indicators that are not optimal. Only one indicator that has not yet been implemented is monitoring blood drug levels because it is constrained by the financing of facilities and infrastructure which are quite expensive. Compliance Clinical Pharmacy Services at RSUP Dr. Wahidin Sudirohusodo Makassar has done quite well but there are still a few things that need to be addressed by the hospital, including the need to increase human resources, scheduling more intense visite, adequate budgeting for the procurement of medical devices and educational media products.","author":[{"dropping-particle":"","family":"Djamaluddin","given":"Furqan","non-dropping-particle":"","parse-names":false,"suffix":""},{"dropping-particle":"","family":"Imbaruddin","given":"Amir","non-dropping-particle":"","parse-names":false,"suffix":""}],"container-title":"Jurnal Administrasi Negara","id":"ITEM-1","issue":"3","issued":{"date-parts":[["2019"]]},"title":"KEPATUHAN PELAYANAN FARMASI KLINIK DI RUMAH SAKIT DI CLINICAL PHARMACY SERVICE STANDARD COMPLIANCE IN CENTRAL HOSPITAL DR WAHIDIN SUDIROHUSODO","type":"article-journal","volume":"25"},"uris":["http://www.mendeley.com/documents/?uuid=a52d92a4-b13d-4e50-acd0-87999d91ceda"]}],"mendeley":{"formattedCitation":"(Djamaluddin &amp; Imbaruddin, 2019)","plainTextFormattedCitation":"(Djamaluddin &amp; Imbaruddin, 2019)","previouslyFormattedCitation":"(Djamaluddin &amp; Imbaruddin, 2019)"},"properties":{"noteIndex":0},"schema":"https://github.com/citation-style-language/schema/raw/master/csl-citation.json"}</w:instrText>
      </w:r>
      <w:r w:rsidRPr="008F230A">
        <w:rPr>
          <w:rFonts w:ascii="Times New Roman" w:eastAsia="Times New Roman" w:hAnsi="Times New Roman" w:cs="Times New Roman"/>
          <w:color w:val="000000"/>
          <w:lang w:val="en-US"/>
        </w:rPr>
        <w:fldChar w:fldCharType="separate"/>
      </w:r>
      <w:r w:rsidRPr="008F230A">
        <w:rPr>
          <w:rFonts w:ascii="Times New Roman" w:eastAsia="Times New Roman" w:hAnsi="Times New Roman" w:cs="Times New Roman"/>
          <w:color w:val="000000"/>
          <w:lang w:val="en-US"/>
        </w:rPr>
        <w:t>(Djamaluddin &amp; Imbaruddin, 2019)</w:t>
      </w:r>
      <w:r w:rsidRPr="008F230A">
        <w:rPr>
          <w:rFonts w:ascii="Times New Roman" w:eastAsia="Times New Roman" w:hAnsi="Times New Roman" w:cs="Times New Roman"/>
          <w:color w:val="000000"/>
          <w:lang w:val="en-US"/>
        </w:rPr>
        <w:fldChar w:fldCharType="end"/>
      </w:r>
      <w:r w:rsidRPr="008F230A">
        <w:rPr>
          <w:rFonts w:ascii="Times New Roman" w:eastAsia="Times New Roman" w:hAnsi="Times New Roman" w:cs="Times New Roman"/>
          <w:color w:val="000000"/>
          <w:lang w:val="en-US"/>
        </w:rPr>
        <w:t>.</w:t>
      </w:r>
    </w:p>
    <w:p w14:paraId="3CE00501" w14:textId="77777777" w:rsidR="008F230A" w:rsidRPr="00940726" w:rsidRDefault="008F230A" w:rsidP="00940726">
      <w:pPr>
        <w:numPr>
          <w:ilvl w:val="0"/>
          <w:numId w:val="7"/>
        </w:numPr>
        <w:pBdr>
          <w:top w:val="nil"/>
          <w:left w:val="nil"/>
          <w:bottom w:val="nil"/>
          <w:right w:val="nil"/>
          <w:between w:val="nil"/>
        </w:pBdr>
        <w:spacing w:after="0" w:line="360" w:lineRule="auto"/>
        <w:ind w:left="426" w:hanging="426"/>
        <w:jc w:val="both"/>
        <w:rPr>
          <w:rFonts w:ascii="Times New Roman" w:eastAsia="Times New Roman" w:hAnsi="Times New Roman" w:cs="Times New Roman"/>
          <w:b/>
          <w:bCs/>
          <w:color w:val="000000"/>
          <w:lang w:val="en-US"/>
        </w:rPr>
      </w:pPr>
      <w:r w:rsidRPr="008F230A">
        <w:rPr>
          <w:rFonts w:ascii="Times New Roman" w:eastAsia="Times New Roman" w:hAnsi="Times New Roman" w:cs="Times New Roman"/>
          <w:b/>
          <w:bCs/>
          <w:color w:val="000000"/>
          <w:lang w:val="en-US"/>
        </w:rPr>
        <w:t>Gambaran Penerapan Praktik Layanan Farmasi Klinis di Instalasi Rawat Inap RSUD Praya Kabupaten Lombok Tengah</w:t>
      </w:r>
    </w:p>
    <w:p w14:paraId="5875E36C" w14:textId="77777777" w:rsidR="00913F14" w:rsidRPr="008F230A" w:rsidRDefault="00913F14" w:rsidP="00913F14">
      <w:pPr>
        <w:pBdr>
          <w:top w:val="nil"/>
          <w:left w:val="nil"/>
          <w:bottom w:val="nil"/>
          <w:right w:val="nil"/>
          <w:between w:val="nil"/>
        </w:pBdr>
        <w:spacing w:after="0" w:line="360" w:lineRule="auto"/>
        <w:jc w:val="both"/>
        <w:rPr>
          <w:rFonts w:ascii="Times New Roman" w:eastAsia="Times New Roman" w:hAnsi="Times New Roman" w:cs="Times New Roman"/>
          <w:b/>
          <w:color w:val="000000"/>
          <w:lang w:val="en-US"/>
        </w:rPr>
      </w:pPr>
    </w:p>
    <w:p w14:paraId="039A9660" w14:textId="4AE0FD3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Pr>
          <w:rFonts w:ascii="Times New Roman" w:hAnsi="Times New Roman"/>
          <w:b/>
          <w:noProof/>
          <w:sz w:val="24"/>
          <w:szCs w:val="24"/>
          <w:lang w:val="en-US"/>
          <w14:ligatures w14:val="standardContextual"/>
        </w:rPr>
        <w:lastRenderedPageBreak/>
        <mc:AlternateContent>
          <mc:Choice Requires="wpg">
            <w:drawing>
              <wp:anchor distT="0" distB="0" distL="114300" distR="114300" simplePos="0" relativeHeight="251661312" behindDoc="0" locked="0" layoutInCell="1" allowOverlap="1" wp14:anchorId="345F0099" wp14:editId="2E6302EF">
                <wp:simplePos x="0" y="0"/>
                <wp:positionH relativeFrom="margin">
                  <wp:align>left</wp:align>
                </wp:positionH>
                <wp:positionV relativeFrom="paragraph">
                  <wp:posOffset>-1603</wp:posOffset>
                </wp:positionV>
                <wp:extent cx="5694630" cy="2906162"/>
                <wp:effectExtent l="0" t="0" r="1905" b="8890"/>
                <wp:wrapNone/>
                <wp:docPr id="982945434" name="Group 2"/>
                <wp:cNvGraphicFramePr/>
                <a:graphic xmlns:a="http://schemas.openxmlformats.org/drawingml/2006/main">
                  <a:graphicData uri="http://schemas.microsoft.com/office/word/2010/wordprocessingGroup">
                    <wpg:wgp>
                      <wpg:cNvGrpSpPr/>
                      <wpg:grpSpPr>
                        <a:xfrm>
                          <a:off x="0" y="0"/>
                          <a:ext cx="5694630" cy="2906162"/>
                          <a:chOff x="0" y="0"/>
                          <a:chExt cx="2924175" cy="2674189"/>
                        </a:xfrm>
                      </wpg:grpSpPr>
                      <wps:wsp>
                        <wps:cNvPr id="905712939" name="Text Box 2"/>
                        <wps:cNvSpPr txBox="1">
                          <a:spLocks noChangeArrowheads="1"/>
                        </wps:cNvSpPr>
                        <wps:spPr bwMode="auto">
                          <a:xfrm>
                            <a:off x="0" y="0"/>
                            <a:ext cx="2924175" cy="2674189"/>
                          </a:xfrm>
                          <a:prstGeom prst="rect">
                            <a:avLst/>
                          </a:prstGeom>
                          <a:solidFill>
                            <a:srgbClr val="FFFFFF"/>
                          </a:solidFill>
                          <a:ln w="9525">
                            <a:noFill/>
                            <a:miter lim="800000"/>
                            <a:headEnd/>
                            <a:tailEnd/>
                          </a:ln>
                        </wps:spPr>
                        <wps:txbx>
                          <w:txbxContent>
                            <w:p w14:paraId="5B0D5920" w14:textId="77777777" w:rsidR="008F230A" w:rsidRDefault="008F230A" w:rsidP="008F230A">
                              <w:pPr>
                                <w:tabs>
                                  <w:tab w:val="left" w:pos="3969"/>
                                </w:tabs>
                                <w:jc w:val="center"/>
                              </w:pPr>
                              <w:r>
                                <w:rPr>
                                  <w:noProof/>
                                  <w:lang w:val="en-US"/>
                                  <w14:ligatures w14:val="standardContextual"/>
                                </w:rPr>
                                <w:drawing>
                                  <wp:inline distT="0" distB="0" distL="0" distR="0" wp14:anchorId="2A210255" wp14:editId="50332EEA">
                                    <wp:extent cx="4675505" cy="2317687"/>
                                    <wp:effectExtent l="0" t="0" r="10795" b="6985"/>
                                    <wp:docPr id="556982387" name="Chart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CDE51D-87DE-CCEA-0B8E-5FD16B9F0F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vert="horz" wrap="square" lIns="91440" tIns="45720" rIns="91440" bIns="45720" anchor="t" anchorCtr="0">
                          <a:noAutofit/>
                        </wps:bodyPr>
                      </wps:wsp>
                      <wps:wsp>
                        <wps:cNvPr id="216586994" name="Rectangle 1"/>
                        <wps:cNvSpPr/>
                        <wps:spPr>
                          <a:xfrm>
                            <a:off x="112143" y="2260121"/>
                            <a:ext cx="2708275" cy="335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4D7DD4" w14:textId="77777777" w:rsidR="008F230A" w:rsidRPr="00913F14" w:rsidRDefault="008F230A" w:rsidP="00913F14">
                              <w:pPr>
                                <w:shd w:val="clear" w:color="auto" w:fill="000000" w:themeFill="text1"/>
                                <w:jc w:val="center"/>
                                <w:rPr>
                                  <w:rFonts w:ascii="Times New Roman" w:hAnsi="Times New Roman"/>
                                  <w:b/>
                                  <w:bCs/>
                                  <w:color w:val="FFFFFF" w:themeColor="background1"/>
                                  <w:sz w:val="16"/>
                                  <w:szCs w:val="16"/>
                                </w:rPr>
                              </w:pPr>
                              <w:r w:rsidRPr="00913F14">
                                <w:rPr>
                                  <w:rFonts w:ascii="Times New Roman" w:hAnsi="Times New Roman"/>
                                  <w:b/>
                                  <w:bCs/>
                                  <w:color w:val="FFFFFF" w:themeColor="background1"/>
                                  <w:sz w:val="16"/>
                                  <w:szCs w:val="16"/>
                                </w:rPr>
                                <w:t>Gambar 2. % Penerapan Praktik Layanan Farmasi Klinis di Instalasi Rawat Inap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30" style="position:absolute;left:0;text-align:left;margin-left:0;margin-top:-.15pt;width:448.4pt;height:228.85pt;z-index:251661312;mso-position-horizontal:left;mso-position-horizontal-relative:margin;mso-width-relative:margin;mso-height-relative:margin" coordsize="29241,2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">
                <v:shape id="_x0000_s1031" type="#_x0000_t202" style="position:absolute;width:29241;height:26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O+BsgA&#10;AADiAAAADwAAAGRycy9kb3ducmV2LnhtbESP0YrCMBRE3xf8h3AFXxZN1dXaahQVdvFV1w+4Nte2&#10;2NyUJtr69xtB2MdhZs4wq01nKvGgxpWWFYxHEQjizOqScwXn3+/hAoTzyBory6TgSQ42697HClNt&#10;Wz7S4+RzESDsUlRQeF+nUrqsIINuZGvi4F1tY9AH2eRSN9gGuKnkJIrm0mDJYaHAmvYFZbfT3Si4&#10;HtrPWdJefvw5Pn7Nd1jGF/tUatDvtksQnjr/H363D1pBEs3i8SSZJvC6FO6AX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c74GyAAAAOIAAAAPAAAAAAAAAAAAAAAAAJgCAABk&#10;cnMvZG93bnJldi54bWxQSwUGAAAAAAQABAD1AAAAjQMAAAAA&#10;" stroked="f">
                  <v:textbox>
                    <w:txbxContent>
                      <w:p w14:paraId="5B0D5920" w14:textId="77777777" w:rsidR="008F230A" w:rsidRDefault="008F230A" w:rsidP="008F230A">
                        <w:pPr>
                          <w:tabs>
                            <w:tab w:val="left" w:pos="3969"/>
                          </w:tabs>
                          <w:jc w:val="center"/>
                        </w:pPr>
                        <w:r>
                          <w:rPr>
                            <w:noProof/>
                            <w:lang w:val="en-US"/>
                            <w14:ligatures w14:val="standardContextual"/>
                          </w:rPr>
                          <w:drawing>
                            <wp:inline distT="0" distB="0" distL="0" distR="0" wp14:anchorId="2A210255" wp14:editId="50332EEA">
                              <wp:extent cx="4675505" cy="2317687"/>
                              <wp:effectExtent l="0" t="0" r="10795" b="6985"/>
                              <wp:docPr id="55698238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w15="http://schemas.microsoft.com/office/word/2012/wordml" id="{C9CDE51D-87DE-CCEA-0B8E-5FD16B9F0F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v:rect id="Rectangle 1" o:spid="_x0000_s1032" style="position:absolute;left:1121;top:22601;width:27083;height:3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N+ckA&#10;AADiAAAADwAAAGRycy9kb3ducmV2LnhtbESPQWvCQBSE74L/YXlCb7pRbNDoKkHaUo+aQvH2zD6T&#10;aPZtyG5j/PddodDjMDPfMOttb2rRUesqywqmkwgEcW51xYWCr+x9vADhPLLG2jIpeJCD7WY4WGOi&#10;7Z0P1B19IQKEXYIKSu+bREqXl2TQTWxDHLyLbQ36INtC6hbvAW5qOYuiWBqsOCyU2NCupPx2/DEK&#10;3LnbZ48m/b6eXH5O39hk8/2HUi+jPl2B8NT7//Bf+1MrmE3j10W8XM7heSncAb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GrN+ckAAADiAAAADwAAAAAAAAAAAAAAAACYAgAA&#10;ZHJzL2Rvd25yZXYueG1sUEsFBgAAAAAEAAQA9QAAAI4DAAAAAA==&#10;" filled="f" stroked="f" strokeweight="2pt">
                  <v:textbox>
                    <w:txbxContent>
                      <w:p w14:paraId="2F4D7DD4" w14:textId="77777777" w:rsidR="008F230A" w:rsidRPr="00913F14" w:rsidRDefault="008F230A" w:rsidP="00913F14">
                        <w:pPr>
                          <w:shd w:val="clear" w:color="auto" w:fill="000000" w:themeFill="text1"/>
                          <w:jc w:val="center"/>
                          <w:rPr>
                            <w:rFonts w:ascii="Times New Roman" w:hAnsi="Times New Roman"/>
                            <w:b/>
                            <w:bCs/>
                            <w:color w:val="FFFFFF" w:themeColor="background1"/>
                            <w:sz w:val="16"/>
                            <w:szCs w:val="16"/>
                          </w:rPr>
                        </w:pPr>
                        <w:r w:rsidRPr="00913F14">
                          <w:rPr>
                            <w:rFonts w:ascii="Times New Roman" w:hAnsi="Times New Roman"/>
                            <w:b/>
                            <w:bCs/>
                            <w:color w:val="FFFFFF" w:themeColor="background1"/>
                            <w:sz w:val="16"/>
                            <w:szCs w:val="16"/>
                          </w:rPr>
                          <w:t>Gambar 2. % Penerapan Praktik Layanan Farmasi Klinis di Instalasi Rawat Inap</w:t>
                        </w:r>
                      </w:p>
                    </w:txbxContent>
                  </v:textbox>
                </v:rect>
                <w10:wrap anchorx="margin"/>
              </v:group>
            </w:pict>
          </mc:Fallback>
        </mc:AlternateContent>
      </w:r>
    </w:p>
    <w:p w14:paraId="17CA7129"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2FD35A24"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6140265D"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7F6F434D"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47D08725"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3C799CB3"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007154BC"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397E5BB7"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46A3DF6D"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2D0AF14D" w14:textId="77777777" w:rsidR="00913F14" w:rsidRDefault="00913F14"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72EBDB03" w14:textId="77777777" w:rsidR="00913F14" w:rsidRDefault="00913F14"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3AA0DA2A" w14:textId="2EC45EE0" w:rsidR="008F230A" w:rsidRDefault="00811A48"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Pr>
          <w:noProof/>
          <w:lang w:val="en-US"/>
        </w:rPr>
        <mc:AlternateContent>
          <mc:Choice Requires="wps">
            <w:drawing>
              <wp:anchor distT="0" distB="0" distL="114300" distR="114300" simplePos="0" relativeHeight="251663360" behindDoc="0" locked="0" layoutInCell="1" allowOverlap="1" wp14:anchorId="4E4F954D" wp14:editId="3267BCA7">
                <wp:simplePos x="0" y="0"/>
                <wp:positionH relativeFrom="margin">
                  <wp:posOffset>212725</wp:posOffset>
                </wp:positionH>
                <wp:positionV relativeFrom="paragraph">
                  <wp:posOffset>173355</wp:posOffset>
                </wp:positionV>
                <wp:extent cx="5481320" cy="2327910"/>
                <wp:effectExtent l="0" t="0" r="508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320" cy="2327910"/>
                        </a:xfrm>
                        <a:prstGeom prst="rect">
                          <a:avLst/>
                        </a:prstGeom>
                        <a:solidFill>
                          <a:srgbClr val="FFFFFF"/>
                        </a:solidFill>
                        <a:ln w="9525">
                          <a:noFill/>
                          <a:miter lim="800000"/>
                          <a:headEnd/>
                          <a:tailEnd/>
                        </a:ln>
                      </wps:spPr>
                      <wps:txbx>
                        <w:txbxContent>
                          <w:p w14:paraId="0E8E2AB7" w14:textId="77777777" w:rsidR="00913F14" w:rsidRDefault="008F230A" w:rsidP="00913F14">
                            <w:pPr>
                              <w:jc w:val="center"/>
                              <w:rPr>
                                <w:rFonts w:ascii="Times New Roman" w:hAnsi="Times New Roman"/>
                                <w:b/>
                                <w:bCs/>
                                <w:color w:val="000000" w:themeColor="text1"/>
                                <w:sz w:val="16"/>
                                <w:szCs w:val="16"/>
                              </w:rPr>
                            </w:pPr>
                            <w:r>
                              <w:rPr>
                                <w:noProof/>
                                <w:sz w:val="20"/>
                                <w:szCs w:val="20"/>
                                <w:lang w:val="en-US"/>
                              </w:rPr>
                              <w:drawing>
                                <wp:inline distT="0" distB="0" distL="0" distR="0" wp14:anchorId="78E79C36" wp14:editId="5A5DD92B">
                                  <wp:extent cx="2833735" cy="2281474"/>
                                  <wp:effectExtent l="0" t="0" r="5080" b="5080"/>
                                  <wp:docPr id="10" name="Chart 1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88103F-E3EE-C26D-9940-41911B3C5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13F14" w:rsidRPr="00913F14">
                              <w:rPr>
                                <w:rFonts w:ascii="Times New Roman" w:hAnsi="Times New Roman"/>
                                <w:b/>
                                <w:bCs/>
                                <w:color w:val="000000" w:themeColor="text1"/>
                                <w:sz w:val="16"/>
                                <w:szCs w:val="16"/>
                              </w:rPr>
                              <w:t xml:space="preserve"> </w:t>
                            </w:r>
                          </w:p>
                          <w:p w14:paraId="276FB520" w14:textId="77777777" w:rsidR="00913F14" w:rsidRDefault="00913F14" w:rsidP="00913F14">
                            <w:pPr>
                              <w:jc w:val="center"/>
                              <w:rPr>
                                <w:rFonts w:ascii="Times New Roman" w:hAnsi="Times New Roman"/>
                                <w:b/>
                                <w:bCs/>
                                <w:color w:val="000000" w:themeColor="text1"/>
                                <w:sz w:val="16"/>
                                <w:szCs w:val="16"/>
                              </w:rPr>
                            </w:pPr>
                          </w:p>
                          <w:p w14:paraId="3D46F575" w14:textId="7F096B8B" w:rsidR="00913F14" w:rsidRDefault="00913F14" w:rsidP="00913F14">
                            <w:pPr>
                              <w:jc w:val="center"/>
                              <w:rPr>
                                <w:rFonts w:ascii="Times New Roman" w:hAnsi="Times New Roman"/>
                                <w:b/>
                                <w:bCs/>
                                <w:color w:val="000000" w:themeColor="text1"/>
                                <w:sz w:val="16"/>
                                <w:szCs w:val="16"/>
                              </w:rPr>
                            </w:pPr>
                            <w:r>
                              <w:rPr>
                                <w:rFonts w:ascii="Times New Roman" w:hAnsi="Times New Roman"/>
                                <w:b/>
                                <w:bCs/>
                                <w:color w:val="000000" w:themeColor="text1"/>
                                <w:sz w:val="16"/>
                                <w:szCs w:val="16"/>
                              </w:rPr>
                              <w:t>Gambar 3. % Penerapan Praktik Layanan Farmasi Klinis di Instalasi Rawat Jalan</w:t>
                            </w:r>
                          </w:p>
                          <w:p w14:paraId="66436CA2" w14:textId="77777777" w:rsidR="00913F14" w:rsidRDefault="00913F14" w:rsidP="00913F14">
                            <w:pPr>
                              <w:jc w:val="center"/>
                              <w:rPr>
                                <w:rFonts w:cstheme="minorBidi"/>
                              </w:rPr>
                            </w:pPr>
                          </w:p>
                          <w:p w14:paraId="5850E9E8" w14:textId="43AB689B" w:rsidR="008F230A" w:rsidRDefault="008F230A" w:rsidP="008F230A">
                            <w:pPr>
                              <w:jc w:val="center"/>
                              <w:rPr>
                                <w:rFonts w:ascii="Times New Roman" w:hAnsi="Times New Roman"/>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left:0;text-align:left;margin-left:16.75pt;margin-top:13.65pt;width:431.6pt;height:183.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" stroked="f">
                <v:textbox>
                  <w:txbxContent>
                    <w:p w14:paraId="0E8E2AB7" w14:textId="77777777" w:rsidR="00913F14" w:rsidRDefault="008F230A" w:rsidP="00913F14">
                      <w:pPr>
                        <w:jc w:val="center"/>
                        <w:rPr>
                          <w:rFonts w:ascii="Times New Roman" w:hAnsi="Times New Roman"/>
                          <w:b/>
                          <w:bCs/>
                          <w:color w:val="000000" w:themeColor="text1"/>
                          <w:sz w:val="16"/>
                          <w:szCs w:val="16"/>
                        </w:rPr>
                      </w:pPr>
                      <w:r>
                        <w:rPr>
                          <w:noProof/>
                          <w:sz w:val="20"/>
                          <w:szCs w:val="20"/>
                          <w:lang w:val="en-US"/>
                        </w:rPr>
                        <w:drawing>
                          <wp:inline distT="0" distB="0" distL="0" distR="0" wp14:anchorId="78E79C36" wp14:editId="5A5DD92B">
                            <wp:extent cx="2833735" cy="2281474"/>
                            <wp:effectExtent l="0" t="0" r="5080" b="5080"/>
                            <wp:docPr id="10" name="Chart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w15="http://schemas.microsoft.com/office/word/2012/wordml" id="{C788103F-E3EE-C26D-9940-41911B3C5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913F14" w:rsidRPr="00913F14">
                        <w:rPr>
                          <w:rFonts w:ascii="Times New Roman" w:hAnsi="Times New Roman"/>
                          <w:b/>
                          <w:bCs/>
                          <w:color w:val="000000" w:themeColor="text1"/>
                          <w:sz w:val="16"/>
                          <w:szCs w:val="16"/>
                        </w:rPr>
                        <w:t xml:space="preserve"> </w:t>
                      </w:r>
                    </w:p>
                    <w:p w14:paraId="276FB520" w14:textId="77777777" w:rsidR="00913F14" w:rsidRDefault="00913F14" w:rsidP="00913F14">
                      <w:pPr>
                        <w:jc w:val="center"/>
                        <w:rPr>
                          <w:rFonts w:ascii="Times New Roman" w:hAnsi="Times New Roman"/>
                          <w:b/>
                          <w:bCs/>
                          <w:color w:val="000000" w:themeColor="text1"/>
                          <w:sz w:val="16"/>
                          <w:szCs w:val="16"/>
                        </w:rPr>
                      </w:pPr>
                    </w:p>
                    <w:p w14:paraId="3D46F575" w14:textId="7F096B8B" w:rsidR="00913F14" w:rsidRDefault="00913F14" w:rsidP="00913F14">
                      <w:pPr>
                        <w:jc w:val="center"/>
                        <w:rPr>
                          <w:rFonts w:ascii="Times New Roman" w:hAnsi="Times New Roman"/>
                          <w:b/>
                          <w:bCs/>
                          <w:color w:val="000000" w:themeColor="text1"/>
                          <w:sz w:val="16"/>
                          <w:szCs w:val="16"/>
                        </w:rPr>
                      </w:pPr>
                      <w:r>
                        <w:rPr>
                          <w:rFonts w:ascii="Times New Roman" w:hAnsi="Times New Roman"/>
                          <w:b/>
                          <w:bCs/>
                          <w:color w:val="000000" w:themeColor="text1"/>
                          <w:sz w:val="16"/>
                          <w:szCs w:val="16"/>
                        </w:rPr>
                        <w:t>Gambar 3. % Penerapan Praktik Layanan Farmasi Klinis di Instalasi Rawat Jalan</w:t>
                      </w:r>
                    </w:p>
                    <w:p w14:paraId="66436CA2" w14:textId="77777777" w:rsidR="00913F14" w:rsidRDefault="00913F14" w:rsidP="00913F14">
                      <w:pPr>
                        <w:jc w:val="center"/>
                        <w:rPr>
                          <w:rFonts w:cstheme="minorBidi"/>
                        </w:rPr>
                      </w:pPr>
                    </w:p>
                    <w:p w14:paraId="5850E9E8" w14:textId="43AB689B" w:rsidR="008F230A" w:rsidRDefault="008F230A" w:rsidP="008F230A">
                      <w:pPr>
                        <w:jc w:val="center"/>
                        <w:rPr>
                          <w:rFonts w:ascii="Times New Roman" w:hAnsi="Times New Roman"/>
                          <w:sz w:val="16"/>
                          <w:szCs w:val="16"/>
                        </w:rPr>
                      </w:pPr>
                    </w:p>
                  </w:txbxContent>
                </v:textbox>
                <w10:wrap anchorx="margin"/>
              </v:shape>
            </w:pict>
          </mc:Fallback>
        </mc:AlternateContent>
      </w:r>
    </w:p>
    <w:p w14:paraId="37D72AB8" w14:textId="7A15BB6E"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018DF8B7"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7D590A66"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43C33D34"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5F3FDA7D"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3C50EAED"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577B7020"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73B14498"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3617666E"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27C28549"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1D3D88C9" w14:textId="77777777"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0240D94F" w14:textId="77777777" w:rsidR="00913F14" w:rsidRPr="00913F14" w:rsidRDefault="00913F14" w:rsidP="00913F14">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913F14">
        <w:rPr>
          <w:rFonts w:ascii="Times New Roman" w:eastAsia="Times New Roman" w:hAnsi="Times New Roman" w:cs="Times New Roman"/>
          <w:color w:val="000000"/>
          <w:lang w:val="en-US"/>
        </w:rPr>
        <w:t>Gambar 2. dan Gambar3. Merupakan gambaran persentase penerapan aspek pelayanan farmasi klinis baik di instalasi rawat inap dan rawat jalan RSUD Praya Kab. Lombok Tengah. Pada instalasi rawat inap menunjukkan (Gambar 2.) bahwa persentase pelayanan farmasi klinis baru bisa terlaksana sebesar 63.36% saja meliputi 7 aspek layanan, sedangkan 36.36% meliputi 4 aspek tidak terlaksana dengan maksimal. Pelayanan farmasi klinis di instalasi rawat jalan menunjukkan (Gambar 3.) bahwa tidak semua aspek layanan dapat terlaksana dengan maksimal. Hanya 45.45% meliputi 5 aspek pelayanan yang dapat terlaksana secara maksimal, 27.27% meliputi 3 aspek layanan belum maksimal, 9.09%  meliputi 1 aspek layanan sangat belum maksimal dan sebesar 18.18% meliputi 2 aspek layanan yang tidak dilakukan. Penelitian ini selaras dengan penelitian yang dilakukan oleh Amalia dan putri yang menyatakan bahwa pelayanan farmasi</w:t>
      </w:r>
      <w:r>
        <w:rPr>
          <w:rFonts w:ascii="Times New Roman" w:eastAsia="Times New Roman" w:hAnsi="Times New Roman" w:cs="Times New Roman"/>
          <w:color w:val="000000"/>
          <w:lang w:val="en-US"/>
        </w:rPr>
        <w:t xml:space="preserve"> </w:t>
      </w:r>
      <w:r w:rsidRPr="00913F14">
        <w:rPr>
          <w:rFonts w:ascii="Times New Roman" w:eastAsia="Times New Roman" w:hAnsi="Times New Roman" w:cs="Times New Roman"/>
          <w:color w:val="000000"/>
          <w:lang w:val="en-US"/>
        </w:rPr>
        <w:t xml:space="preserve">klinis di rumah sakit mengacu pada Permenkes No.72 Tahun 2016 belum sepenuhnya dilakukan secara maksimal utamanya pada aspek evaluasi penggunaan obat, pemantauan terapi obat, penelusuran riwayat penggunaan obat dan </w:t>
      </w:r>
      <w:r w:rsidRPr="00913F14">
        <w:rPr>
          <w:rFonts w:ascii="Times New Roman" w:eastAsia="Times New Roman" w:hAnsi="Times New Roman" w:cs="Times New Roman"/>
          <w:i/>
          <w:iCs/>
          <w:color w:val="000000"/>
          <w:lang w:val="en-US"/>
        </w:rPr>
        <w:t>visite</w:t>
      </w:r>
      <w:r w:rsidRPr="00913F14">
        <w:rPr>
          <w:rFonts w:ascii="Times New Roman" w:eastAsia="Times New Roman" w:hAnsi="Times New Roman" w:cs="Times New Roman"/>
          <w:color w:val="000000"/>
          <w:lang w:val="en-US"/>
        </w:rPr>
        <w:t xml:space="preserve"> </w:t>
      </w:r>
      <w:r w:rsidRPr="00913F14">
        <w:rPr>
          <w:rFonts w:ascii="Times New Roman" w:eastAsia="Times New Roman" w:hAnsi="Times New Roman" w:cs="Times New Roman"/>
          <w:color w:val="000000"/>
          <w:lang w:val="en-US"/>
        </w:rPr>
        <w:fldChar w:fldCharType="begin" w:fldLock="1"/>
      </w:r>
      <w:r w:rsidRPr="00913F14">
        <w:rPr>
          <w:rFonts w:ascii="Times New Roman" w:eastAsia="Times New Roman" w:hAnsi="Times New Roman" w:cs="Times New Roman"/>
          <w:color w:val="000000"/>
          <w:lang w:val="en-US"/>
        </w:rPr>
        <w:instrText>ADDIN CSL_CITATION {"citationItems":[{"id":"ITEM-1","itemData":{"DOI":"https://doi.org/10.46846/jurnalinkofar.v5i1.188","author":[{"dropping-particle":"","family":"Amalia","given":"Tisa","non-dropping-particle":"","parse-names":false,"suffix":""},{"dropping-particle":"","family":"Putri","given":"Tyantica Usdianty","non-dropping-particle":"","parse-names":false,"suffix":""},{"dropping-particle":"","family":"Studi","given":"Program","non-dropping-particle":"","parse-names":false,"suffix":""},{"dropping-particle":"","family":"Politeknik","given":"Farmasi","non-dropping-particle":"","parse-names":false,"suffix":""},{"dropping-particle":"","family":"Industri","given":"Meta","non-dropping-particle":"","parse-names":false,"suffix":""}],"container-title":"INKOFAR","id":"ITEM-1","issue":"1","issued":{"date-parts":[["2021"]]},"page":"29-33","title":"IMPLEMENTASI PERATURAN MENTERI KESEHATAN NOMOR 72 TAHUN 2016 TERHADAP PELAYANAN FARMASI KLINIS DI RUMAH SAKIT A 2 . 3 Spesifikasi Penelitian Spesifikasi yang dipergunakan adalah deskriptif analisis , yaitu penelitian yang mendeskripsikan secara terperinci","type":"article-journal","volume":"5"},"uris":["http://www.mendeley.com/documents/?uuid=fb925b2e-ae9c-41c3-a061-981ded9b0c7e"]}],"mendeley":{"formattedCitation":"(Amalia et al., 2021)","plainTextFormattedCitation":"(Amalia et al., 2021)","previouslyFormattedCitation":"(Amalia et al., 2021)"},"properties":{"noteIndex":0},"schema":"https://github.com/citation-style-language/schema/raw/master/csl-citation.json"}</w:instrText>
      </w:r>
      <w:r w:rsidRPr="00913F14">
        <w:rPr>
          <w:rFonts w:ascii="Times New Roman" w:eastAsia="Times New Roman" w:hAnsi="Times New Roman" w:cs="Times New Roman"/>
          <w:color w:val="000000"/>
          <w:lang w:val="en-US"/>
        </w:rPr>
        <w:fldChar w:fldCharType="separate"/>
      </w:r>
      <w:r w:rsidRPr="00913F14">
        <w:rPr>
          <w:rFonts w:ascii="Times New Roman" w:eastAsia="Times New Roman" w:hAnsi="Times New Roman" w:cs="Times New Roman"/>
          <w:color w:val="000000"/>
          <w:lang w:val="en-US"/>
        </w:rPr>
        <w:t>(Amalia et al., 2021)</w:t>
      </w:r>
      <w:r w:rsidRPr="00913F14">
        <w:rPr>
          <w:rFonts w:ascii="Times New Roman" w:eastAsia="Times New Roman" w:hAnsi="Times New Roman" w:cs="Times New Roman"/>
          <w:color w:val="000000"/>
          <w:lang w:val="en-US"/>
        </w:rPr>
        <w:fldChar w:fldCharType="end"/>
      </w:r>
      <w:r w:rsidRPr="00913F14">
        <w:rPr>
          <w:rFonts w:ascii="Times New Roman" w:eastAsia="Times New Roman" w:hAnsi="Times New Roman" w:cs="Times New Roman"/>
          <w:color w:val="000000"/>
          <w:lang w:val="en-US"/>
        </w:rPr>
        <w:t>.</w:t>
      </w:r>
    </w:p>
    <w:p w14:paraId="346BB5D9" w14:textId="232C042D" w:rsidR="00913F14" w:rsidRDefault="00913F14" w:rsidP="00940726">
      <w:pPr>
        <w:numPr>
          <w:ilvl w:val="0"/>
          <w:numId w:val="5"/>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lang w:val="en-US"/>
        </w:rPr>
      </w:pPr>
      <w:r w:rsidRPr="00913F14">
        <w:rPr>
          <w:rFonts w:ascii="Times New Roman" w:eastAsia="Times New Roman" w:hAnsi="Times New Roman" w:cs="Times New Roman"/>
          <w:b/>
          <w:bCs/>
          <w:color w:val="000000"/>
          <w:lang w:val="en-US"/>
        </w:rPr>
        <w:lastRenderedPageBreak/>
        <w:t>Aspek Sumber Daya Manusia (SDM) Kefarmasian</w:t>
      </w:r>
    </w:p>
    <w:p w14:paraId="253CC024" w14:textId="3B22783E" w:rsidR="00913F14" w:rsidRPr="00913F14" w:rsidRDefault="00913F14" w:rsidP="00913F1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lang w:val="en-ID"/>
        </w:rPr>
      </w:pPr>
      <w:r w:rsidRPr="00913F14">
        <w:rPr>
          <w:rFonts w:ascii="Times New Roman" w:eastAsia="Times New Roman" w:hAnsi="Times New Roman" w:cs="Times New Roman"/>
          <w:color w:val="000000"/>
          <w:lang w:val="en-US"/>
        </w:rPr>
        <w:t xml:space="preserve">Menurut Permenkes No.72 tahun 2016 pemenuhan sumber daya manusia baik apoteker ataupun Tenaga Teknis Kefarmasian (TTK) di instalasi farmasi rumah sakit haruslah berdasarkan beban kerja dan unit pelayanannya </w:t>
      </w:r>
      <w:r w:rsidRPr="00913F14">
        <w:rPr>
          <w:rFonts w:ascii="Times New Roman" w:eastAsia="Times New Roman" w:hAnsi="Times New Roman" w:cs="Times New Roman"/>
          <w:color w:val="000000"/>
          <w:lang w:val="en-US"/>
        </w:rPr>
        <w:fldChar w:fldCharType="begin" w:fldLock="1"/>
      </w:r>
      <w:r w:rsidRPr="00913F14">
        <w:rPr>
          <w:rFonts w:ascii="Times New Roman" w:eastAsia="Times New Roman" w:hAnsi="Times New Roman" w:cs="Times New Roman"/>
          <w:color w:val="000000"/>
          <w:lang w:val="en-US"/>
        </w:rPr>
        <w:instrText>ADDIN CSL_CITATION {"citationItems":[{"id":"ITEM-1","itemData":{"author":[{"dropping-particle":"","family":"Kemenkes RI","given":"","non-dropping-particle":"","parse-names":false,"suffix":""}],"id":"ITEM-1","issued":{"date-parts":[["2016"]]},"number":"72","publisher-place":"Jakarta, Indonesia","title":"PERMENKES RI No.72 Tahun 2016 TENTANG STANDAR PELAYANAN KEFARMASIAN DI RUMAH SAKIT","type":"article"},"uris":["http://www.mendeley.com/documents/?uuid=016cfa8a-7550-487e-a8fc-79c7be5a14b5"]}],"mendeley":{"formattedCitation":"(Kemenkes RI, 2016)","plainTextFormattedCitation":"(Kemenkes RI, 2016)","previouslyFormattedCitation":"(Kemenkes RI, 2016)"},"properties":{"noteIndex":0},"schema":"https://github.com/citation-style-language/schema/raw/master/csl-citation.json"}</w:instrText>
      </w:r>
      <w:r w:rsidRPr="00913F14">
        <w:rPr>
          <w:rFonts w:ascii="Times New Roman" w:eastAsia="Times New Roman" w:hAnsi="Times New Roman" w:cs="Times New Roman"/>
          <w:color w:val="000000"/>
          <w:lang w:val="en-US"/>
        </w:rPr>
        <w:fldChar w:fldCharType="separate"/>
      </w:r>
      <w:r w:rsidRPr="00913F14">
        <w:rPr>
          <w:rFonts w:ascii="Times New Roman" w:eastAsia="Times New Roman" w:hAnsi="Times New Roman" w:cs="Times New Roman"/>
          <w:color w:val="000000"/>
          <w:lang w:val="en-US"/>
        </w:rPr>
        <w:t>(Kemenkes RI, 2016)</w:t>
      </w:r>
      <w:r w:rsidRPr="00913F14">
        <w:rPr>
          <w:rFonts w:ascii="Times New Roman" w:eastAsia="Times New Roman" w:hAnsi="Times New Roman" w:cs="Times New Roman"/>
          <w:color w:val="000000"/>
          <w:lang w:val="en-US"/>
        </w:rPr>
        <w:fldChar w:fldCharType="end"/>
      </w:r>
      <w:r w:rsidRPr="00913F14">
        <w:rPr>
          <w:rFonts w:ascii="Times New Roman" w:eastAsia="Times New Roman" w:hAnsi="Times New Roman" w:cs="Times New Roman"/>
          <w:color w:val="000000"/>
          <w:lang w:val="en-US"/>
        </w:rPr>
        <w:t>. Berikut hasil dari skoring dan evaluasi penerapan Standar Pelayanan Farmasi di Rumah Sakit di tinjau dari aspek SDM kefarmasian,</w:t>
      </w:r>
    </w:p>
    <w:p w14:paraId="43BED3B3" w14:textId="77777777" w:rsidR="00913F14" w:rsidRPr="00913F14" w:rsidRDefault="00913F14" w:rsidP="00913F14">
      <w:pPr>
        <w:pBdr>
          <w:top w:val="nil"/>
          <w:left w:val="nil"/>
          <w:bottom w:val="nil"/>
          <w:right w:val="nil"/>
          <w:between w:val="nil"/>
        </w:pBdr>
        <w:spacing w:after="0" w:line="360" w:lineRule="auto"/>
        <w:jc w:val="both"/>
        <w:rPr>
          <w:rFonts w:ascii="Times New Roman" w:eastAsia="Times New Roman" w:hAnsi="Times New Roman" w:cs="Times New Roman"/>
          <w:b/>
          <w:bCs/>
          <w:color w:val="000000"/>
          <w:lang w:val="en-US"/>
        </w:rPr>
      </w:pPr>
      <w:r w:rsidRPr="00913F14">
        <w:rPr>
          <w:rFonts w:ascii="Times New Roman" w:eastAsia="Times New Roman" w:hAnsi="Times New Roman" w:cs="Times New Roman"/>
          <w:b/>
          <w:bCs/>
          <w:color w:val="000000"/>
          <w:lang w:val="en-US"/>
        </w:rPr>
        <w:t>Tabel 3.</w:t>
      </w:r>
      <w:r w:rsidRPr="00913F14">
        <w:rPr>
          <w:rFonts w:ascii="Times New Roman" w:eastAsia="Times New Roman" w:hAnsi="Times New Roman" w:cs="Times New Roman"/>
          <w:b/>
          <w:bCs/>
          <w:color w:val="000000"/>
          <w:lang w:val="en-US"/>
        </w:rPr>
        <w:tab/>
        <w:t>Hasil Skoring dan Penilaian Kesesuaian SDM Kefarmasian di RSUD Praya Kabupaten Lombok Tengah</w:t>
      </w:r>
    </w:p>
    <w:tbl>
      <w:tblPr>
        <w:tblStyle w:val="ListTable1Light-Accent61"/>
        <w:tblW w:w="9134" w:type="dxa"/>
        <w:tblLook w:val="04A0" w:firstRow="1" w:lastRow="0" w:firstColumn="1" w:lastColumn="0" w:noHBand="0" w:noVBand="1"/>
      </w:tblPr>
      <w:tblGrid>
        <w:gridCol w:w="787"/>
        <w:gridCol w:w="2235"/>
        <w:gridCol w:w="1558"/>
        <w:gridCol w:w="1512"/>
        <w:gridCol w:w="1530"/>
        <w:gridCol w:w="1512"/>
      </w:tblGrid>
      <w:tr w:rsidR="00913F14" w:rsidRPr="00913F14" w14:paraId="0028E37B" w14:textId="77777777" w:rsidTr="00913F14">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787" w:type="dxa"/>
            <w:tcBorders>
              <w:top w:val="nil"/>
              <w:left w:val="nil"/>
              <w:right w:val="nil"/>
            </w:tcBorders>
            <w:hideMark/>
          </w:tcPr>
          <w:p w14:paraId="28C32097" w14:textId="77777777" w:rsidR="00913F14" w:rsidRPr="00913F14" w:rsidRDefault="00913F14" w:rsidP="007E797E">
            <w:pPr>
              <w:tabs>
                <w:tab w:val="left" w:pos="851"/>
              </w:tabs>
              <w:jc w:val="center"/>
              <w:rPr>
                <w:rFonts w:ascii="Times New Roman" w:hAnsi="Times New Roman"/>
                <w:b w:val="0"/>
                <w:bCs w:val="0"/>
                <w:lang w:val="en-US"/>
              </w:rPr>
            </w:pPr>
            <w:r w:rsidRPr="00913F14">
              <w:rPr>
                <w:rFonts w:ascii="Times New Roman" w:hAnsi="Times New Roman"/>
                <w:b w:val="0"/>
                <w:bCs w:val="0"/>
                <w:lang w:val="en-US"/>
              </w:rPr>
              <w:t>No</w:t>
            </w:r>
          </w:p>
        </w:tc>
        <w:tc>
          <w:tcPr>
            <w:tcW w:w="2235" w:type="dxa"/>
            <w:tcBorders>
              <w:top w:val="nil"/>
              <w:left w:val="nil"/>
              <w:right w:val="nil"/>
            </w:tcBorders>
            <w:hideMark/>
          </w:tcPr>
          <w:p w14:paraId="60C61C57" w14:textId="77777777" w:rsidR="00913F14" w:rsidRPr="00913F14" w:rsidRDefault="00913F14" w:rsidP="007E797E">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US"/>
              </w:rPr>
            </w:pPr>
            <w:r w:rsidRPr="00913F14">
              <w:rPr>
                <w:rFonts w:ascii="Times New Roman" w:hAnsi="Times New Roman"/>
                <w:b w:val="0"/>
                <w:bCs w:val="0"/>
                <w:lang w:val="en-US"/>
              </w:rPr>
              <w:t>Aspek SDM</w:t>
            </w:r>
          </w:p>
        </w:tc>
        <w:tc>
          <w:tcPr>
            <w:tcW w:w="1558" w:type="dxa"/>
            <w:tcBorders>
              <w:top w:val="nil"/>
              <w:left w:val="nil"/>
              <w:right w:val="nil"/>
            </w:tcBorders>
            <w:hideMark/>
          </w:tcPr>
          <w:p w14:paraId="2B3A2D7E" w14:textId="77777777" w:rsidR="00913F14" w:rsidRPr="00913F14" w:rsidRDefault="00913F14" w:rsidP="007E797E">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US"/>
              </w:rPr>
            </w:pPr>
            <w:r w:rsidRPr="00913F14">
              <w:rPr>
                <w:rFonts w:ascii="Times New Roman" w:hAnsi="Times New Roman"/>
                <w:b w:val="0"/>
                <w:bCs w:val="0"/>
                <w:lang w:val="en-US"/>
              </w:rPr>
              <w:t>∑ Pertanyaan</w:t>
            </w:r>
          </w:p>
        </w:tc>
        <w:tc>
          <w:tcPr>
            <w:tcW w:w="1512" w:type="dxa"/>
            <w:tcBorders>
              <w:top w:val="nil"/>
              <w:left w:val="nil"/>
              <w:right w:val="nil"/>
            </w:tcBorders>
            <w:hideMark/>
          </w:tcPr>
          <w:p w14:paraId="71F00639" w14:textId="77777777" w:rsidR="00913F14" w:rsidRPr="00913F14" w:rsidRDefault="00913F14" w:rsidP="007E797E">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US"/>
              </w:rPr>
            </w:pPr>
            <w:r w:rsidRPr="00913F14">
              <w:rPr>
                <w:rFonts w:ascii="Times New Roman" w:hAnsi="Times New Roman"/>
                <w:b w:val="0"/>
                <w:bCs w:val="0"/>
                <w:lang w:val="en-US"/>
              </w:rPr>
              <w:t>Skoring</w:t>
            </w:r>
          </w:p>
        </w:tc>
        <w:tc>
          <w:tcPr>
            <w:tcW w:w="1530" w:type="dxa"/>
            <w:tcBorders>
              <w:top w:val="nil"/>
              <w:left w:val="nil"/>
              <w:right w:val="nil"/>
            </w:tcBorders>
            <w:hideMark/>
          </w:tcPr>
          <w:p w14:paraId="202BB58A" w14:textId="77777777" w:rsidR="00913F14" w:rsidRPr="00913F14" w:rsidRDefault="00913F14" w:rsidP="007E797E">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US"/>
              </w:rPr>
            </w:pPr>
            <w:r w:rsidRPr="00913F14">
              <w:rPr>
                <w:rFonts w:ascii="Times New Roman" w:hAnsi="Times New Roman"/>
                <w:b w:val="0"/>
                <w:bCs w:val="0"/>
                <w:lang w:val="en-US"/>
              </w:rPr>
              <w:t>% Kesesuaian</w:t>
            </w:r>
          </w:p>
        </w:tc>
        <w:tc>
          <w:tcPr>
            <w:tcW w:w="1512" w:type="dxa"/>
            <w:tcBorders>
              <w:top w:val="nil"/>
              <w:left w:val="nil"/>
              <w:right w:val="nil"/>
            </w:tcBorders>
            <w:hideMark/>
          </w:tcPr>
          <w:p w14:paraId="47E03A49" w14:textId="77777777" w:rsidR="00913F14" w:rsidRPr="00913F14" w:rsidRDefault="00913F14" w:rsidP="007E797E">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US"/>
              </w:rPr>
            </w:pPr>
            <w:r w:rsidRPr="00913F14">
              <w:rPr>
                <w:rFonts w:ascii="Times New Roman" w:hAnsi="Times New Roman"/>
                <w:b w:val="0"/>
                <w:bCs w:val="0"/>
                <w:lang w:val="en-US"/>
              </w:rPr>
              <w:t>Kategori</w:t>
            </w:r>
          </w:p>
        </w:tc>
      </w:tr>
      <w:tr w:rsidR="00913F14" w:rsidRPr="00913F14" w14:paraId="134A2B47" w14:textId="77777777" w:rsidTr="003F656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787" w:type="dxa"/>
            <w:shd w:val="clear" w:color="auto" w:fill="EAF1DD" w:themeFill="accent3" w:themeFillTint="33"/>
          </w:tcPr>
          <w:p w14:paraId="3BAB9ACF" w14:textId="77777777" w:rsidR="00913F14" w:rsidRPr="00913F14" w:rsidRDefault="00913F14" w:rsidP="007E797E">
            <w:pPr>
              <w:tabs>
                <w:tab w:val="left" w:pos="851"/>
              </w:tabs>
              <w:jc w:val="both"/>
              <w:rPr>
                <w:rFonts w:ascii="Times New Roman" w:hAnsi="Times New Roman"/>
                <w:b w:val="0"/>
                <w:bCs w:val="0"/>
                <w:lang w:val="en-US"/>
              </w:rPr>
            </w:pPr>
          </w:p>
        </w:tc>
        <w:tc>
          <w:tcPr>
            <w:tcW w:w="2235" w:type="dxa"/>
            <w:shd w:val="clear" w:color="auto" w:fill="EAF1DD" w:themeFill="accent3" w:themeFillTint="33"/>
          </w:tcPr>
          <w:p w14:paraId="415EC8B9" w14:textId="77777777" w:rsidR="00913F14" w:rsidRPr="00913F14" w:rsidRDefault="00913F14" w:rsidP="007E797E">
            <w:pPr>
              <w:tabs>
                <w:tab w:val="left" w:pos="85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en-US"/>
              </w:rPr>
            </w:pPr>
          </w:p>
        </w:tc>
        <w:tc>
          <w:tcPr>
            <w:tcW w:w="1558" w:type="dxa"/>
            <w:shd w:val="clear" w:color="auto" w:fill="EAF1DD" w:themeFill="accent3" w:themeFillTint="33"/>
          </w:tcPr>
          <w:p w14:paraId="6C473B0B" w14:textId="77777777" w:rsidR="00913F14" w:rsidRPr="00913F14" w:rsidRDefault="00913F14" w:rsidP="007E797E">
            <w:pPr>
              <w:tabs>
                <w:tab w:val="left" w:pos="85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en-US"/>
              </w:rPr>
            </w:pPr>
          </w:p>
        </w:tc>
        <w:tc>
          <w:tcPr>
            <w:tcW w:w="1512" w:type="dxa"/>
            <w:shd w:val="clear" w:color="auto" w:fill="EAF1DD" w:themeFill="accent3" w:themeFillTint="33"/>
          </w:tcPr>
          <w:p w14:paraId="03B10D09" w14:textId="77777777" w:rsidR="00913F14" w:rsidRPr="00913F14" w:rsidRDefault="00913F14" w:rsidP="007E797E">
            <w:pPr>
              <w:tabs>
                <w:tab w:val="left" w:pos="85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en-US"/>
              </w:rPr>
            </w:pPr>
          </w:p>
        </w:tc>
        <w:tc>
          <w:tcPr>
            <w:tcW w:w="1530" w:type="dxa"/>
            <w:shd w:val="clear" w:color="auto" w:fill="EAF1DD" w:themeFill="accent3" w:themeFillTint="33"/>
          </w:tcPr>
          <w:p w14:paraId="3A4DC572" w14:textId="77777777" w:rsidR="00913F14" w:rsidRPr="00913F14" w:rsidRDefault="00913F14" w:rsidP="007E797E">
            <w:pPr>
              <w:tabs>
                <w:tab w:val="left" w:pos="85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en-US"/>
              </w:rPr>
            </w:pPr>
          </w:p>
        </w:tc>
        <w:tc>
          <w:tcPr>
            <w:tcW w:w="1512" w:type="dxa"/>
            <w:shd w:val="clear" w:color="auto" w:fill="EAF1DD" w:themeFill="accent3" w:themeFillTint="33"/>
          </w:tcPr>
          <w:p w14:paraId="549C8293" w14:textId="77777777" w:rsidR="00913F14" w:rsidRPr="00913F14" w:rsidRDefault="00913F14" w:rsidP="007E797E">
            <w:pPr>
              <w:tabs>
                <w:tab w:val="left" w:pos="851"/>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en-US"/>
              </w:rPr>
            </w:pPr>
          </w:p>
        </w:tc>
      </w:tr>
      <w:tr w:rsidR="00913F14" w:rsidRPr="00913F14" w14:paraId="1987191D" w14:textId="77777777" w:rsidTr="00913F14">
        <w:trPr>
          <w:trHeight w:val="313"/>
        </w:trPr>
        <w:tc>
          <w:tcPr>
            <w:cnfStyle w:val="001000000000" w:firstRow="0" w:lastRow="0" w:firstColumn="1" w:lastColumn="0" w:oddVBand="0" w:evenVBand="0" w:oddHBand="0" w:evenHBand="0" w:firstRowFirstColumn="0" w:firstRowLastColumn="0" w:lastRowFirstColumn="0" w:lastRowLastColumn="0"/>
            <w:tcW w:w="787" w:type="dxa"/>
            <w:hideMark/>
          </w:tcPr>
          <w:p w14:paraId="1F6B0F86" w14:textId="77777777" w:rsidR="00913F14" w:rsidRPr="00913F14" w:rsidRDefault="00913F14" w:rsidP="007E797E">
            <w:pPr>
              <w:tabs>
                <w:tab w:val="left" w:pos="851"/>
              </w:tabs>
              <w:jc w:val="center"/>
              <w:rPr>
                <w:rFonts w:ascii="Times New Roman" w:hAnsi="Times New Roman"/>
                <w:b w:val="0"/>
                <w:bCs w:val="0"/>
                <w:lang w:val="en-US"/>
              </w:rPr>
            </w:pPr>
            <w:r w:rsidRPr="00913F14">
              <w:rPr>
                <w:rFonts w:ascii="Times New Roman" w:hAnsi="Times New Roman"/>
                <w:b w:val="0"/>
                <w:bCs w:val="0"/>
                <w:lang w:val="en-US"/>
              </w:rPr>
              <w:t>1</w:t>
            </w:r>
          </w:p>
        </w:tc>
        <w:tc>
          <w:tcPr>
            <w:tcW w:w="2235" w:type="dxa"/>
            <w:hideMark/>
          </w:tcPr>
          <w:p w14:paraId="693F3B27" w14:textId="77777777" w:rsidR="00913F14" w:rsidRPr="00913F14" w:rsidRDefault="00913F14" w:rsidP="007E797E">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913F14">
              <w:rPr>
                <w:rFonts w:ascii="Times New Roman" w:hAnsi="Times New Roman"/>
                <w:lang w:val="en-US"/>
              </w:rPr>
              <w:t>SDM Kefarmasian</w:t>
            </w:r>
          </w:p>
        </w:tc>
        <w:tc>
          <w:tcPr>
            <w:tcW w:w="1558" w:type="dxa"/>
            <w:hideMark/>
          </w:tcPr>
          <w:p w14:paraId="39CD3F34" w14:textId="77777777" w:rsidR="00913F14" w:rsidRPr="00913F14" w:rsidRDefault="00913F14" w:rsidP="007E797E">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913F14">
              <w:rPr>
                <w:rFonts w:ascii="Times New Roman" w:hAnsi="Times New Roman"/>
                <w:lang w:val="en-US"/>
              </w:rPr>
              <w:t>3</w:t>
            </w:r>
          </w:p>
        </w:tc>
        <w:tc>
          <w:tcPr>
            <w:tcW w:w="1512" w:type="dxa"/>
            <w:hideMark/>
          </w:tcPr>
          <w:p w14:paraId="11FE8749" w14:textId="77777777" w:rsidR="00913F14" w:rsidRPr="00913F14" w:rsidRDefault="00913F14" w:rsidP="007E797E">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913F14">
              <w:rPr>
                <w:rFonts w:ascii="Times New Roman" w:hAnsi="Times New Roman"/>
                <w:lang w:val="en-US"/>
              </w:rPr>
              <w:t>3</w:t>
            </w:r>
          </w:p>
        </w:tc>
        <w:tc>
          <w:tcPr>
            <w:tcW w:w="1530" w:type="dxa"/>
            <w:hideMark/>
          </w:tcPr>
          <w:p w14:paraId="6C98A361" w14:textId="77777777" w:rsidR="00913F14" w:rsidRPr="00913F14" w:rsidRDefault="00913F14" w:rsidP="007E797E">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913F14">
              <w:rPr>
                <w:rFonts w:ascii="Times New Roman" w:hAnsi="Times New Roman"/>
                <w:lang w:val="en-US"/>
              </w:rPr>
              <w:t>100</w:t>
            </w:r>
          </w:p>
        </w:tc>
        <w:tc>
          <w:tcPr>
            <w:tcW w:w="1512" w:type="dxa"/>
            <w:hideMark/>
          </w:tcPr>
          <w:p w14:paraId="36C0B25B" w14:textId="77777777" w:rsidR="00913F14" w:rsidRPr="00913F14" w:rsidRDefault="00913F14" w:rsidP="007E797E">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913F14">
              <w:rPr>
                <w:rFonts w:ascii="Times New Roman" w:hAnsi="Times New Roman"/>
                <w:lang w:val="en-US"/>
              </w:rPr>
              <w:t>Sangat baik</w:t>
            </w:r>
          </w:p>
        </w:tc>
      </w:tr>
    </w:tbl>
    <w:p w14:paraId="1D943DA3" w14:textId="26A3FB3D" w:rsidR="008F230A" w:rsidRDefault="008F230A"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5A83518E" w14:textId="77777777" w:rsidR="00913F14" w:rsidRPr="00913F14" w:rsidRDefault="00913F14" w:rsidP="00913F14">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913F14">
        <w:rPr>
          <w:rFonts w:ascii="Times New Roman" w:eastAsia="Times New Roman" w:hAnsi="Times New Roman" w:cs="Times New Roman"/>
          <w:color w:val="000000"/>
          <w:lang w:val="en-US"/>
        </w:rPr>
        <w:t>Hasil skoring dan penilaian kesesuaian SDM kefarmasian pada Tabel 3 menunjukkan bahwa RSUD Praya Kabupaten Lombok Tengah telah melaksanakan penerapan standart SDM menurut Permenkes No.72 tahuun 2016 dengan persentase kesesuaian sebesar 100% kategori baik sekali. Sebagai indikator penilaian meliputi adanya standar dalam penerimaan SDM kefarmasian, berikut dengan alur penempatannya serta adanya upaya pengembangan SDM melalui pendidikan dan pelatihan. Melalui telaah dokumen diketahui pula bahwa SDM kefarmasian di RSUD Praya telah memenuhi persyaratan adminitrasi ditunjukan dengan adanya STRA untuk apoteker dan STRTTK untuk TTK. Seperti yang dikemukakan oleh AT dan Dedy. dalam penelitiannya bahwasannya dalam melakukan perekrutan SDM kefarmasian harus mengacu kepada Permenkes No.72 Tahun 2016 dan Permenkes No.80 Tahun 2016. Terkait penempatan SDM kefarmasian harus mengacu kepada jumalah resep yang masuk di</w:t>
      </w:r>
      <w:r>
        <w:rPr>
          <w:rFonts w:ascii="Times New Roman" w:eastAsia="Times New Roman" w:hAnsi="Times New Roman" w:cs="Times New Roman"/>
          <w:color w:val="000000"/>
          <w:lang w:val="en-US"/>
        </w:rPr>
        <w:t xml:space="preserve"> </w:t>
      </w:r>
      <w:r w:rsidRPr="00913F14">
        <w:rPr>
          <w:rFonts w:ascii="Times New Roman" w:eastAsia="Times New Roman" w:hAnsi="Times New Roman" w:cs="Times New Roman"/>
          <w:color w:val="000000"/>
          <w:lang w:val="en-US"/>
        </w:rPr>
        <w:t xml:space="preserve">instalasi farmasi rawat jalan dan jumlah tempat tidur di instalasi farmasi rawat inap dengan rasio 1 apoteker untuk 30 pasien </w:t>
      </w:r>
      <w:r w:rsidRPr="00913F14">
        <w:rPr>
          <w:rFonts w:ascii="Times New Roman" w:eastAsia="Times New Roman" w:hAnsi="Times New Roman" w:cs="Times New Roman"/>
          <w:color w:val="000000"/>
          <w:lang w:val="en-US"/>
        </w:rPr>
        <w:fldChar w:fldCharType="begin" w:fldLock="1"/>
      </w:r>
      <w:r w:rsidRPr="00913F14">
        <w:rPr>
          <w:rFonts w:ascii="Times New Roman" w:eastAsia="Times New Roman" w:hAnsi="Times New Roman" w:cs="Times New Roman"/>
          <w:color w:val="000000"/>
          <w:lang w:val="en-US"/>
        </w:rPr>
        <w:instrText>ADDIN CSL_CITATION {"citationItems":[{"id":"ITEM-1","itemData":{"DOI":"https://doi.org/10.25077/jka.v8i2.1013","abstract":"Regulation of the Minister of Health Number 72 of 2016 is very important to be applied in every Pharmacy Installation in a hospital, so that the achievement of improving the quality of Pharmaceutical Services is achieved. The objective of this study was to find out how the implementation of Minister of Health Regulation number 72 of 2016 concerning pharmaceutical service standards on Human Resourse (HR) management of RSU Pharmacy Installation Major General H.A Thalib Kerinci in 2018 by analyzing qualifications, requirements and workload and HR needs in IFRS MHAT. This study uses Sequential Explanatory design combining quantitative and qualitative and quantitative research is twenty-eight people, for informants in the qualitative study were nine people. During the study from November to December 2018 at the General Hospital of Maj. Gen. H. Thalib Kerinci. The results of this study were the qualifications of TKK personnel still with a background in SMF. The results of the document check list were obtained if the management of pharmaceutical preparations, medical devices, and medical materials were used up 44.4% had not been implemented while clinical pharmacy services 63.6% had not been implemented. The results of the work sampling observation showed that the warehouse and outpatient units had moderate productivity, while the inpatient unit showed a low level of productivity. Qualifications, requirements and workload and human resource requirements at IFRS MHAT are not yet in accordance with Minister of Health Regulation number 72 of 2016.","author":[{"dropping-particle":"","family":"At","given":"Trianengsih","non-dropping-particle":"","parse-names":false,"suffix":""},{"dropping-particle":"","family":"Almasdy","given":"Dedy","non-dropping-particle":"","parse-names":false,"suffix":""}],"container-title":"Jurnal Kesehatan Andalas","id":"ITEM-1","issue":"72","issued":{"date-parts":[["2018"]]},"page":"356-365","title":"Artikel Penelitian Implementasi Permenkes Nomor 72 Tahun 2016 tentang Standar Pelayanan Kefarmasian di Rumah Sakit Terhadap Tatakelola SDM Instalasi Farmasi Rsu Mayjen H . A Thalib Kerinci Tahun 2018","type":"article-journal","volume":"8"},"uris":["http://www.mendeley.com/documents/?uuid=47bafc99-8fbd-4e6a-a248-b7a53e0e197b"]}],"mendeley":{"formattedCitation":"(At &amp; Almasdy, 2018)","plainTextFormattedCitation":"(At &amp; Almasdy, 2018)","previouslyFormattedCitation":"(At &amp; Almasdy, 2018)"},"properties":{"noteIndex":0},"schema":"https://github.com/citation-style-language/schema/raw/master/csl-citation.json"}</w:instrText>
      </w:r>
      <w:r w:rsidRPr="00913F14">
        <w:rPr>
          <w:rFonts w:ascii="Times New Roman" w:eastAsia="Times New Roman" w:hAnsi="Times New Roman" w:cs="Times New Roman"/>
          <w:color w:val="000000"/>
          <w:lang w:val="en-US"/>
        </w:rPr>
        <w:fldChar w:fldCharType="separate"/>
      </w:r>
      <w:r w:rsidRPr="00913F14">
        <w:rPr>
          <w:rFonts w:ascii="Times New Roman" w:eastAsia="Times New Roman" w:hAnsi="Times New Roman" w:cs="Times New Roman"/>
          <w:color w:val="000000"/>
          <w:lang w:val="en-US"/>
        </w:rPr>
        <w:t>(At &amp; Almasdy, 2018)</w:t>
      </w:r>
      <w:r w:rsidRPr="00913F14">
        <w:rPr>
          <w:rFonts w:ascii="Times New Roman" w:eastAsia="Times New Roman" w:hAnsi="Times New Roman" w:cs="Times New Roman"/>
          <w:color w:val="000000"/>
          <w:lang w:val="en-US"/>
        </w:rPr>
        <w:fldChar w:fldCharType="end"/>
      </w:r>
      <w:r w:rsidRPr="00913F14">
        <w:rPr>
          <w:rFonts w:ascii="Times New Roman" w:eastAsia="Times New Roman" w:hAnsi="Times New Roman" w:cs="Times New Roman"/>
          <w:color w:val="000000"/>
          <w:lang w:val="en-US"/>
        </w:rPr>
        <w:t>.</w:t>
      </w:r>
    </w:p>
    <w:p w14:paraId="1CEF7261" w14:textId="7ADCA31A" w:rsidR="00913F14" w:rsidRDefault="00913F14"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3889C7D2" w14:textId="77777777" w:rsidR="00913F14" w:rsidRDefault="00913F14" w:rsidP="008F230A">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
    <w:p w14:paraId="4E4F720C" w14:textId="7F9026CC" w:rsidR="00D01695" w:rsidRDefault="00BF5A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KESIMPULAN DAN SARAN </w:t>
      </w:r>
    </w:p>
    <w:p w14:paraId="78247F5E" w14:textId="77777777" w:rsidR="00A52622" w:rsidRPr="00A52622" w:rsidRDefault="00A52622" w:rsidP="00A5262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A52622">
        <w:rPr>
          <w:rFonts w:ascii="Times New Roman" w:eastAsia="Times New Roman" w:hAnsi="Times New Roman" w:cs="Times New Roman"/>
          <w:color w:val="000000"/>
          <w:lang w:val="en-US"/>
        </w:rPr>
        <w:t>Standar pelayanan farmasi di RSUD Praya Kabupaten Lombok Tengah belum terlaksana dengan maksimal ditunjukkan dengan nilai persentasi kesesuain pelaksanaan penerapan standar untuk beberapa aspek manajemen farmasi dan farmasi klinis masih ditemukan nilai kesesuaian standar dibawah 100% untuk pengelolaan sedian farmasi, alkes dan BMHP dan dibawah 50% dengan kategori kurang baik untuk aspek pelayanan farmasi klinis.</w:t>
      </w:r>
    </w:p>
    <w:p w14:paraId="2B374484" w14:textId="77777777" w:rsidR="00A52622" w:rsidRDefault="00A52622" w:rsidP="00A5262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r w:rsidRPr="00A52622">
        <w:rPr>
          <w:rFonts w:ascii="Times New Roman" w:eastAsia="Times New Roman" w:hAnsi="Times New Roman" w:cs="Times New Roman"/>
          <w:color w:val="000000"/>
          <w:lang w:val="en-US"/>
        </w:rPr>
        <w:tab/>
        <w:t>Beberapa hal yang menjadi kendala tidak maksimalnya standar pelayanana di RSUD Praya adalah tidak maksimalnya poses evaluasi terhadap proses pelayanan farmasi, keterbatasan tenaga farmasi yang terlatih, ketidak lengkapan dokumentasi, dan fasilitas rumah sakit yang belum memadai.</w:t>
      </w:r>
    </w:p>
    <w:p w14:paraId="4C0B6197" w14:textId="77777777" w:rsidR="006A44A2" w:rsidRDefault="006A44A2" w:rsidP="00A5262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p>
    <w:p w14:paraId="3625F42A" w14:textId="77777777" w:rsidR="006A44A2" w:rsidRPr="00A52622" w:rsidRDefault="006A44A2" w:rsidP="00A5262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lang w:val="en-US"/>
        </w:rPr>
      </w:pPr>
    </w:p>
    <w:p w14:paraId="502D4853" w14:textId="77777777" w:rsidR="00D01695" w:rsidRDefault="00D0169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43C78A8" w14:textId="69C79B79" w:rsidR="00D01695" w:rsidRDefault="00BF5A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UCAPAN TERIMA KASIH </w:t>
      </w:r>
    </w:p>
    <w:p w14:paraId="2546C6E1" w14:textId="77777777" w:rsidR="006A44A2" w:rsidRPr="006A44A2" w:rsidRDefault="006A44A2" w:rsidP="006A44A2">
      <w:pPr>
        <w:pBdr>
          <w:top w:val="nil"/>
          <w:left w:val="nil"/>
          <w:bottom w:val="nil"/>
          <w:right w:val="nil"/>
          <w:between w:val="nil"/>
        </w:pBdr>
        <w:spacing w:line="240" w:lineRule="auto"/>
        <w:jc w:val="both"/>
        <w:rPr>
          <w:rFonts w:ascii="Times New Roman" w:eastAsia="Times New Roman" w:hAnsi="Times New Roman" w:cs="Times New Roman"/>
          <w:color w:val="000000"/>
          <w:lang w:val="en-US"/>
        </w:rPr>
      </w:pPr>
      <w:r w:rsidRPr="006A44A2">
        <w:rPr>
          <w:rFonts w:ascii="Times New Roman" w:eastAsia="Times New Roman" w:hAnsi="Times New Roman" w:cs="Times New Roman"/>
          <w:color w:val="000000"/>
          <w:lang w:val="en-US"/>
        </w:rPr>
        <w:t xml:space="preserve">Puji syukur penulis panjatkan ke hadirat Tuhan Yang Maha Esa atas segala rahmat dan karunia-Nya sehingga penulis dapat menyelesaikan jurnal yang berjudul </w:t>
      </w:r>
      <w:r w:rsidRPr="006A44A2">
        <w:rPr>
          <w:rFonts w:ascii="Times New Roman" w:eastAsia="Times New Roman" w:hAnsi="Times New Roman" w:cs="Times New Roman"/>
          <w:i/>
          <w:iCs/>
          <w:color w:val="000000"/>
          <w:lang w:val="en-US"/>
        </w:rPr>
        <w:t>“Evaluasi Penerapan Standar Pelayanan Farmasi pada Rumah Sakit Pemerintah Tipe C di Kabupaten Lombok Tengah”</w:t>
      </w:r>
      <w:r w:rsidRPr="006A44A2">
        <w:rPr>
          <w:rFonts w:ascii="Times New Roman" w:eastAsia="Times New Roman" w:hAnsi="Times New Roman" w:cs="Times New Roman"/>
          <w:color w:val="000000"/>
          <w:lang w:val="en-US"/>
        </w:rPr>
        <w:t>.</w:t>
      </w:r>
    </w:p>
    <w:p w14:paraId="27487CE2" w14:textId="77777777" w:rsidR="006A44A2" w:rsidRPr="006A44A2" w:rsidRDefault="006A44A2" w:rsidP="006A44A2">
      <w:pPr>
        <w:pBdr>
          <w:top w:val="nil"/>
          <w:left w:val="nil"/>
          <w:bottom w:val="nil"/>
          <w:right w:val="nil"/>
          <w:between w:val="nil"/>
        </w:pBdr>
        <w:spacing w:line="240" w:lineRule="auto"/>
        <w:jc w:val="both"/>
        <w:rPr>
          <w:rFonts w:ascii="Times New Roman" w:eastAsia="Times New Roman" w:hAnsi="Times New Roman" w:cs="Times New Roman"/>
          <w:color w:val="000000"/>
          <w:lang w:val="en-US"/>
        </w:rPr>
      </w:pPr>
      <w:r w:rsidRPr="006A44A2">
        <w:rPr>
          <w:rFonts w:ascii="Times New Roman" w:eastAsia="Times New Roman" w:hAnsi="Times New Roman" w:cs="Times New Roman"/>
          <w:color w:val="000000"/>
          <w:lang w:val="en-US"/>
        </w:rPr>
        <w:t>Penulis menyampaikan terima kasih yang sebesar-besarnya kepada berbagai pihak yang telah memberikan bantuan, dukungan, dan bimbingan, antara lain:</w:t>
      </w:r>
    </w:p>
    <w:p w14:paraId="22EBA718" w14:textId="77777777" w:rsidR="006A44A2" w:rsidRPr="006A44A2" w:rsidRDefault="006A44A2" w:rsidP="006A44A2">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lang w:val="en-US"/>
        </w:rPr>
      </w:pPr>
      <w:r w:rsidRPr="006A44A2">
        <w:rPr>
          <w:rFonts w:ascii="Times New Roman" w:eastAsia="Times New Roman" w:hAnsi="Times New Roman" w:cs="Times New Roman"/>
          <w:color w:val="000000"/>
          <w:lang w:val="en-US"/>
        </w:rPr>
        <w:t>Kepala dan seluruh staf Instalasi Farmasi RSUD Praya Kabupaten Lombok Tengah yang telah bersedia memberikan informasi, data, dan izin untuk melakukan penelitian;</w:t>
      </w:r>
    </w:p>
    <w:p w14:paraId="45761803" w14:textId="77777777" w:rsidR="006A44A2" w:rsidRPr="006A44A2" w:rsidRDefault="006A44A2" w:rsidP="006A44A2">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lang w:val="en-US"/>
        </w:rPr>
      </w:pPr>
      <w:r w:rsidRPr="006A44A2">
        <w:rPr>
          <w:rFonts w:ascii="Times New Roman" w:eastAsia="Times New Roman" w:hAnsi="Times New Roman" w:cs="Times New Roman"/>
          <w:color w:val="000000"/>
          <w:lang w:val="en-US"/>
        </w:rPr>
        <w:t>Dosen pembimbing yang telah memberikan arahan, saran, dan masukan berharga selama proses penyusunan jurnal;</w:t>
      </w:r>
    </w:p>
    <w:p w14:paraId="5E841231" w14:textId="77777777" w:rsidR="006A44A2" w:rsidRPr="006A44A2" w:rsidRDefault="006A44A2" w:rsidP="006A44A2">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lang w:val="en-US"/>
        </w:rPr>
      </w:pPr>
      <w:r w:rsidRPr="006A44A2">
        <w:rPr>
          <w:rFonts w:ascii="Times New Roman" w:eastAsia="Times New Roman" w:hAnsi="Times New Roman" w:cs="Times New Roman"/>
          <w:color w:val="000000"/>
          <w:lang w:val="en-US"/>
        </w:rPr>
        <w:t>Rekan-rekan dan tenaga kefarmasian yang telah berpartisipasi sebagai narasumber dan memberikan waktu serta pengalaman berharga;</w:t>
      </w:r>
    </w:p>
    <w:p w14:paraId="0BBAB93F" w14:textId="77777777" w:rsidR="006A44A2" w:rsidRPr="006A44A2" w:rsidRDefault="006A44A2" w:rsidP="006A44A2">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lang w:val="en-US"/>
        </w:rPr>
      </w:pPr>
      <w:r w:rsidRPr="006A44A2">
        <w:rPr>
          <w:rFonts w:ascii="Times New Roman" w:eastAsia="Times New Roman" w:hAnsi="Times New Roman" w:cs="Times New Roman"/>
          <w:color w:val="000000"/>
          <w:lang w:val="en-US"/>
        </w:rPr>
        <w:t>Semua pihak yang tidak dapat disebutkan satu per satu yang telah membantu kelancaran penelitian ini.</w:t>
      </w:r>
    </w:p>
    <w:p w14:paraId="083490F0" w14:textId="148D9E0F" w:rsidR="00D01695" w:rsidRPr="00811A48" w:rsidRDefault="006A44A2" w:rsidP="00811A48">
      <w:pPr>
        <w:pBdr>
          <w:top w:val="nil"/>
          <w:left w:val="nil"/>
          <w:bottom w:val="nil"/>
          <w:right w:val="nil"/>
          <w:between w:val="nil"/>
        </w:pBdr>
        <w:spacing w:line="240" w:lineRule="auto"/>
        <w:jc w:val="both"/>
        <w:rPr>
          <w:rFonts w:ascii="Times New Roman" w:eastAsia="Times New Roman" w:hAnsi="Times New Roman" w:cs="Times New Roman"/>
          <w:color w:val="000000"/>
          <w:lang w:val="en-US"/>
        </w:rPr>
      </w:pPr>
      <w:r w:rsidRPr="006A44A2">
        <w:rPr>
          <w:rFonts w:ascii="Times New Roman" w:eastAsia="Times New Roman" w:hAnsi="Times New Roman" w:cs="Times New Roman"/>
          <w:color w:val="000000"/>
          <w:lang w:val="en-US"/>
        </w:rPr>
        <w:t>Penulis menyadari bahwa jurnal ini masih jauh dari sempurna. Oleh karena itu, kritik dan saran yang membangun sangat diharapkan demi perbaikan di masa mendatang. Semoga jurnal ini dapat memberikan manfaat bagi pengembangan pelayanan farmasi di rumah sakit pemerintah, khususnya di Kabupaten Lombok Tengah.</w:t>
      </w:r>
    </w:p>
    <w:p w14:paraId="63A8FD5C" w14:textId="77777777" w:rsidR="00D01695" w:rsidRDefault="00BF5A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PUSTAKA</w:t>
      </w:r>
    </w:p>
    <w:p w14:paraId="605884B3"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bookmarkStart w:id="8" w:name="_heading=h.gjdgxs" w:colFirst="0" w:colLast="0"/>
      <w:bookmarkEnd w:id="8"/>
      <w:r w:rsidRPr="007D0006">
        <w:rPr>
          <w:rFonts w:ascii="Times New Roman" w:eastAsia="Times New Roman" w:hAnsi="Times New Roman" w:cs="Times New Roman"/>
          <w:noProof/>
          <w:sz w:val="24"/>
          <w:szCs w:val="24"/>
          <w:lang w:val="en-US"/>
        </w:rPr>
        <w:t xml:space="preserve">Amalia, T., Putri, T. U., Studi, P., Politeknik, F., &amp; Industri, M. (2021). Implementasi Peraturan Menteri Kesehatan Nomor 72 Tahun 2016 Terhadap Pelayanan Farmasi Klinis Di Rumah Sakit A 2 . 3 Spesifikasi Penelitian Spesifikasi yang dipergunakan adalah deskriptif analisis , yaitu penelitian yang mendeskripsikan secara terperinci. </w:t>
      </w:r>
      <w:r w:rsidRPr="007D0006">
        <w:rPr>
          <w:rFonts w:ascii="Times New Roman" w:eastAsia="Times New Roman" w:hAnsi="Times New Roman" w:cs="Times New Roman"/>
          <w:i/>
          <w:iCs/>
          <w:noProof/>
          <w:sz w:val="24"/>
          <w:szCs w:val="24"/>
          <w:lang w:val="en-US"/>
        </w:rPr>
        <w:t>INKOFAR</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5</w:t>
      </w:r>
      <w:r w:rsidRPr="007D0006">
        <w:rPr>
          <w:rFonts w:ascii="Times New Roman" w:eastAsia="Times New Roman" w:hAnsi="Times New Roman" w:cs="Times New Roman"/>
          <w:noProof/>
          <w:sz w:val="24"/>
          <w:szCs w:val="24"/>
          <w:lang w:val="en-US"/>
        </w:rPr>
        <w:t>(1), 29–33. https://doi.org/https://doi.org/10.46846/jurnalinkofar.v5i1.188</w:t>
      </w:r>
    </w:p>
    <w:p w14:paraId="3EE7A536"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At, T., &amp; Almasdy, D. (2018). Artikel Penelitian Implementasi Permenkes Nomor 72 Tahun 2016 tentang Standar Pelayanan Kefarmasian di Rumah Sakit Terhadap Tatakelola SDM Instalasi Farmasi Rsu Mayjen H . A Thalib Kerinci Tahun 2018. </w:t>
      </w:r>
      <w:r w:rsidRPr="007D0006">
        <w:rPr>
          <w:rFonts w:ascii="Times New Roman" w:eastAsia="Times New Roman" w:hAnsi="Times New Roman" w:cs="Times New Roman"/>
          <w:i/>
          <w:iCs/>
          <w:noProof/>
          <w:sz w:val="24"/>
          <w:szCs w:val="24"/>
          <w:lang w:val="en-US"/>
        </w:rPr>
        <w:t>Jurnal Kesehatan Andalas</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8</w:t>
      </w:r>
      <w:r w:rsidRPr="007D0006">
        <w:rPr>
          <w:rFonts w:ascii="Times New Roman" w:eastAsia="Times New Roman" w:hAnsi="Times New Roman" w:cs="Times New Roman"/>
          <w:noProof/>
          <w:sz w:val="24"/>
          <w:szCs w:val="24"/>
          <w:lang w:val="en-US"/>
        </w:rPr>
        <w:t>(72), 356–365. https://doi.org/https://doi.org/10.25077/jka.v8i2.1013</w:t>
      </w:r>
    </w:p>
    <w:p w14:paraId="57B9EED1"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Aulia, N. (2006). </w:t>
      </w:r>
      <w:r w:rsidRPr="007D0006">
        <w:rPr>
          <w:rFonts w:ascii="Times New Roman" w:eastAsia="Times New Roman" w:hAnsi="Times New Roman" w:cs="Times New Roman"/>
          <w:i/>
          <w:iCs/>
          <w:noProof/>
          <w:sz w:val="24"/>
          <w:szCs w:val="24"/>
          <w:lang w:val="en-US"/>
        </w:rPr>
        <w:t>Evaluasi pelaksanaan standar pelayanan farmasi di Rumah Sakir Tipe C di daerah Istimewa Yogyakarta Tahun 2005</w:t>
      </w:r>
      <w:r w:rsidRPr="007D0006">
        <w:rPr>
          <w:rFonts w:ascii="Times New Roman" w:eastAsia="Times New Roman" w:hAnsi="Times New Roman" w:cs="Times New Roman"/>
          <w:noProof/>
          <w:sz w:val="24"/>
          <w:szCs w:val="24"/>
          <w:lang w:val="en-US"/>
        </w:rPr>
        <w:t>. Universitas Gadjah Mada.</w:t>
      </w:r>
    </w:p>
    <w:p w14:paraId="130BBED7"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Badan Pusat Statistik Lombok Tengah. (2024). </w:t>
      </w:r>
      <w:r w:rsidRPr="007D0006">
        <w:rPr>
          <w:rFonts w:ascii="Times New Roman" w:eastAsia="Times New Roman" w:hAnsi="Times New Roman" w:cs="Times New Roman"/>
          <w:i/>
          <w:iCs/>
          <w:noProof/>
          <w:sz w:val="24"/>
          <w:szCs w:val="24"/>
          <w:lang w:val="en-US"/>
        </w:rPr>
        <w:t>Kabupaten Lombok Tengah Dalam Angka Tahun 2024</w:t>
      </w:r>
      <w:r w:rsidRPr="007D0006">
        <w:rPr>
          <w:rFonts w:ascii="Times New Roman" w:eastAsia="Times New Roman" w:hAnsi="Times New Roman" w:cs="Times New Roman"/>
          <w:noProof/>
          <w:sz w:val="24"/>
          <w:szCs w:val="24"/>
          <w:lang w:val="en-US"/>
        </w:rPr>
        <w:t>. https://doi.org/1102001.5202</w:t>
      </w:r>
    </w:p>
    <w:p w14:paraId="44A4FBB2"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Djamaluddin, F., &amp; Imbaruddin, A. (2019). KEPATUHAN PELAYANAN FARMASI KLINIK DI RUMAH SAKIT DI CLINICAL PHARMACY SERVICE STANDARD COMPLIANCE IN CENTRAL HOSPITAL DR WAHIDIN </w:t>
      </w:r>
      <w:r w:rsidRPr="007D0006">
        <w:rPr>
          <w:rFonts w:ascii="Times New Roman" w:eastAsia="Times New Roman" w:hAnsi="Times New Roman" w:cs="Times New Roman"/>
          <w:noProof/>
          <w:sz w:val="24"/>
          <w:szCs w:val="24"/>
          <w:lang w:val="en-US"/>
        </w:rPr>
        <w:lastRenderedPageBreak/>
        <w:t xml:space="preserve">SUDIROHUSODO. </w:t>
      </w:r>
      <w:r w:rsidRPr="007D0006">
        <w:rPr>
          <w:rFonts w:ascii="Times New Roman" w:eastAsia="Times New Roman" w:hAnsi="Times New Roman" w:cs="Times New Roman"/>
          <w:i/>
          <w:iCs/>
          <w:noProof/>
          <w:sz w:val="24"/>
          <w:szCs w:val="24"/>
          <w:lang w:val="en-US"/>
        </w:rPr>
        <w:t>Jurnal Administrasi Negara</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25</w:t>
      </w:r>
      <w:r w:rsidRPr="007D0006">
        <w:rPr>
          <w:rFonts w:ascii="Times New Roman" w:eastAsia="Times New Roman" w:hAnsi="Times New Roman" w:cs="Times New Roman"/>
          <w:noProof/>
          <w:sz w:val="24"/>
          <w:szCs w:val="24"/>
          <w:lang w:val="en-US"/>
        </w:rPr>
        <w:t>(3). https://doi.org/https://doi.org/10.33509/jan.v25i3.923</w:t>
      </w:r>
    </w:p>
    <w:p w14:paraId="0858C158"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Hariani, H., Fitriani, A. D., &amp; Sari, M. (2022). Manajemen Pengelolaan Obat Diinstalasi Farmasi Rumah Sakit Umum Daerah Dr. Zubir Mahmud Kabupaten Aceh Timur Tahun 2021. </w:t>
      </w:r>
      <w:r w:rsidRPr="007D0006">
        <w:rPr>
          <w:rFonts w:ascii="Times New Roman" w:eastAsia="Times New Roman" w:hAnsi="Times New Roman" w:cs="Times New Roman"/>
          <w:i/>
          <w:iCs/>
          <w:noProof/>
          <w:sz w:val="24"/>
          <w:szCs w:val="24"/>
          <w:lang w:val="en-US"/>
        </w:rPr>
        <w:t>MIRACLE Journal</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2</w:t>
      </w:r>
      <w:r w:rsidRPr="007D0006">
        <w:rPr>
          <w:rFonts w:ascii="Times New Roman" w:eastAsia="Times New Roman" w:hAnsi="Times New Roman" w:cs="Times New Roman"/>
          <w:noProof/>
          <w:sz w:val="24"/>
          <w:szCs w:val="24"/>
          <w:lang w:val="en-US"/>
        </w:rPr>
        <w:t>(1), 49–66. https://doi.org/10.51771/mj.v2i1.242</w:t>
      </w:r>
    </w:p>
    <w:p w14:paraId="349F5CC6"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Karimah, C., Arso, S. P., &amp; Kusumastuti, W. (2020). Analisis pengelolaan obat pada tahap pengadaan di rumah sakit roemani muhammadiyah semarang. </w:t>
      </w:r>
      <w:r w:rsidRPr="007D0006">
        <w:rPr>
          <w:rFonts w:ascii="Times New Roman" w:eastAsia="Times New Roman" w:hAnsi="Times New Roman" w:cs="Times New Roman"/>
          <w:i/>
          <w:iCs/>
          <w:noProof/>
          <w:sz w:val="24"/>
          <w:szCs w:val="24"/>
          <w:lang w:val="en-US"/>
        </w:rPr>
        <w:t>Jurnal Kesehatan Masyarakat</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8</w:t>
      </w:r>
      <w:r w:rsidRPr="007D0006">
        <w:rPr>
          <w:rFonts w:ascii="Times New Roman" w:eastAsia="Times New Roman" w:hAnsi="Times New Roman" w:cs="Times New Roman"/>
          <w:noProof/>
          <w:sz w:val="24"/>
          <w:szCs w:val="24"/>
          <w:lang w:val="en-US"/>
        </w:rPr>
        <w:t>(2), 182–187. https://doi.org/https://doi.org/10.14710/jkm.v8i2.26293</w:t>
      </w:r>
    </w:p>
    <w:p w14:paraId="60B6D6B8"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Kemenkes RI. (2016). </w:t>
      </w:r>
      <w:r w:rsidRPr="007D0006">
        <w:rPr>
          <w:rFonts w:ascii="Times New Roman" w:eastAsia="Times New Roman" w:hAnsi="Times New Roman" w:cs="Times New Roman"/>
          <w:i/>
          <w:iCs/>
          <w:noProof/>
          <w:sz w:val="24"/>
          <w:szCs w:val="24"/>
          <w:lang w:val="en-US"/>
        </w:rPr>
        <w:t>PERMENKES RI No.72 Tahun 2016 TENTANG STANDAR PELAYANAN KEFARMASIAN DI RUMAH SAKIT</w:t>
      </w:r>
      <w:r w:rsidRPr="007D0006">
        <w:rPr>
          <w:rFonts w:ascii="Times New Roman" w:eastAsia="Times New Roman" w:hAnsi="Times New Roman" w:cs="Times New Roman"/>
          <w:noProof/>
          <w:sz w:val="24"/>
          <w:szCs w:val="24"/>
          <w:lang w:val="en-US"/>
        </w:rPr>
        <w:t xml:space="preserve"> (No. 72).</w:t>
      </w:r>
    </w:p>
    <w:p w14:paraId="615832EC"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Kumayas, F. I., Fatimawali, &amp; Jimmy, P. (2023). Evaluasi Implementasi Permenkes Nomor 72 Tahun 2016 Terhadap Manajemen Perencanaan, Pengadaan Dan Pengendalian Obat Di Instalasi Farmasi Rumah Sakit Umum Daerah Provinsi Sulawesi Utara.pdf. </w:t>
      </w:r>
      <w:r w:rsidRPr="007D0006">
        <w:rPr>
          <w:rFonts w:ascii="Times New Roman" w:eastAsia="Times New Roman" w:hAnsi="Times New Roman" w:cs="Times New Roman"/>
          <w:i/>
          <w:iCs/>
          <w:noProof/>
          <w:sz w:val="24"/>
          <w:szCs w:val="24"/>
          <w:lang w:val="en-US"/>
        </w:rPr>
        <w:t>Jurnal Kesehatan Tambusai</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4</w:t>
      </w:r>
      <w:r w:rsidRPr="007D0006">
        <w:rPr>
          <w:rFonts w:ascii="Times New Roman" w:eastAsia="Times New Roman" w:hAnsi="Times New Roman" w:cs="Times New Roman"/>
          <w:noProof/>
          <w:sz w:val="24"/>
          <w:szCs w:val="24"/>
          <w:lang w:val="en-US"/>
        </w:rPr>
        <w:t>(2). https://doi.org/https://doi.org/10.31004/jkt.v4i2.16132</w:t>
      </w:r>
    </w:p>
    <w:p w14:paraId="0FA67F06"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Lolita, D., Yuswar, M. A., &amp; Untari, E. K. (2019). Penerapan Pelayanan Farmasi Klinis Di Rsud Ade Muhammad Djoen Kabupaten Sintang Tahun 2018 Berdasarkan Peraturan Menteri Kesehatan Republik Indonesia Nomor 72 Tahun 2016. </w:t>
      </w:r>
      <w:r w:rsidRPr="007D0006">
        <w:rPr>
          <w:rFonts w:ascii="Times New Roman" w:eastAsia="Times New Roman" w:hAnsi="Times New Roman" w:cs="Times New Roman"/>
          <w:i/>
          <w:iCs/>
          <w:noProof/>
          <w:sz w:val="24"/>
          <w:szCs w:val="24"/>
          <w:lang w:val="en-US"/>
        </w:rPr>
        <w:t>Jurnal Mahasiswa Farmasi Fakultas Kedokteran UNTAN</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4</w:t>
      </w:r>
      <w:r w:rsidRPr="007D0006">
        <w:rPr>
          <w:rFonts w:ascii="Times New Roman" w:eastAsia="Times New Roman" w:hAnsi="Times New Roman" w:cs="Times New Roman"/>
          <w:noProof/>
          <w:sz w:val="24"/>
          <w:szCs w:val="24"/>
          <w:lang w:val="en-US"/>
        </w:rPr>
        <w:t>(1).</w:t>
      </w:r>
    </w:p>
    <w:p w14:paraId="0163C341"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Melinda, Dewi, S., &amp; Hutapea, R. F. (2019). Evaluasi Peran Apoteker Dalam Meningkatkan Mutu Pelayanan Kefarmasian Dan Penggunaan Obat Di RS Kartika Husada. </w:t>
      </w:r>
      <w:r w:rsidRPr="007D0006">
        <w:rPr>
          <w:rFonts w:ascii="Times New Roman" w:eastAsia="Times New Roman" w:hAnsi="Times New Roman" w:cs="Times New Roman"/>
          <w:i/>
          <w:iCs/>
          <w:noProof/>
          <w:sz w:val="24"/>
          <w:szCs w:val="24"/>
          <w:lang w:val="en-US"/>
        </w:rPr>
        <w:t>Jurnal Manajemen Dan Administrasi Rumah Sakit Indonesia (MARSI)</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3</w:t>
      </w:r>
      <w:r w:rsidRPr="007D0006">
        <w:rPr>
          <w:rFonts w:ascii="Times New Roman" w:eastAsia="Times New Roman" w:hAnsi="Times New Roman" w:cs="Times New Roman"/>
          <w:noProof/>
          <w:sz w:val="24"/>
          <w:szCs w:val="24"/>
          <w:lang w:val="en-US"/>
        </w:rPr>
        <w:t>(2), 102–112. https://doi.org/https://doi.org/10.52643/marsi.v3i2.535</w:t>
      </w:r>
    </w:p>
    <w:p w14:paraId="6B463F52"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Monibala, T., Citraningtyas, G., &amp; Yamlean, P. V. Y. (2019). Evaluasi Penyimpanan Dan Pendistribusian Obat Di Instalasi Farmasi Rsud Noongan, Kabupaten Minahasa Provinsi Sulawesi Utara. </w:t>
      </w:r>
      <w:r w:rsidRPr="007D0006">
        <w:rPr>
          <w:rFonts w:ascii="Times New Roman" w:eastAsia="Times New Roman" w:hAnsi="Times New Roman" w:cs="Times New Roman"/>
          <w:i/>
          <w:iCs/>
          <w:noProof/>
          <w:sz w:val="24"/>
          <w:szCs w:val="24"/>
          <w:lang w:val="en-US"/>
        </w:rPr>
        <w:t>Pharmacon</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8</w:t>
      </w:r>
      <w:r w:rsidRPr="007D0006">
        <w:rPr>
          <w:rFonts w:ascii="Times New Roman" w:eastAsia="Times New Roman" w:hAnsi="Times New Roman" w:cs="Times New Roman"/>
          <w:noProof/>
          <w:sz w:val="24"/>
          <w:szCs w:val="24"/>
          <w:lang w:val="en-US"/>
        </w:rPr>
        <w:t>(1), 79. https://doi.org/10.35799/pha.8.2019.29240</w:t>
      </w:r>
    </w:p>
    <w:p w14:paraId="00F81B2A"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Pratasik, A. L. Y., Fatimawali, &amp; Sumampouw, O. J. (2023). Analisis Perencanaan, Pengadaan, Dan Pengendalian Obat Di Instalasi Farmasi Unit Pelaksana Teknis Daerah Rumah Sakit Manembo Nembo Tipe C Bitung. </w:t>
      </w:r>
      <w:r w:rsidRPr="007D0006">
        <w:rPr>
          <w:rFonts w:ascii="Times New Roman" w:eastAsia="Times New Roman" w:hAnsi="Times New Roman" w:cs="Times New Roman"/>
          <w:i/>
          <w:iCs/>
          <w:noProof/>
          <w:sz w:val="24"/>
          <w:szCs w:val="24"/>
          <w:lang w:val="en-US"/>
        </w:rPr>
        <w:t>Jurnal Kesehatan Tambusai</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4</w:t>
      </w:r>
      <w:r w:rsidRPr="007D0006">
        <w:rPr>
          <w:rFonts w:ascii="Times New Roman" w:eastAsia="Times New Roman" w:hAnsi="Times New Roman" w:cs="Times New Roman"/>
          <w:noProof/>
          <w:sz w:val="24"/>
          <w:szCs w:val="24"/>
          <w:lang w:val="en-US"/>
        </w:rPr>
        <w:t>(44), 5249–5266. https://doi.org/https://doi.org/10.31004/jkt.v4i4.21500</w:t>
      </w:r>
    </w:p>
    <w:p w14:paraId="4936C857"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Primadiamanti, A., Saputri, G. A. R., &amp; Sari, D. L. (2022). Evaluasi Penyimpanan Dan Pendistribusian Obat Di Instalasi Farmasi Rumah Sakit Mutiara Bunda Tulang </w:t>
      </w:r>
      <w:r w:rsidRPr="007D0006">
        <w:rPr>
          <w:rFonts w:ascii="Times New Roman" w:eastAsia="Times New Roman" w:hAnsi="Times New Roman" w:cs="Times New Roman"/>
          <w:noProof/>
          <w:sz w:val="24"/>
          <w:szCs w:val="24"/>
          <w:lang w:val="en-US"/>
        </w:rPr>
        <w:lastRenderedPageBreak/>
        <w:t xml:space="preserve">Bawang. </w:t>
      </w:r>
      <w:r w:rsidRPr="007D0006">
        <w:rPr>
          <w:rFonts w:ascii="Times New Roman" w:eastAsia="Times New Roman" w:hAnsi="Times New Roman" w:cs="Times New Roman"/>
          <w:i/>
          <w:iCs/>
          <w:noProof/>
          <w:sz w:val="24"/>
          <w:szCs w:val="24"/>
          <w:lang w:val="en-US"/>
        </w:rPr>
        <w:t>Jurnal Farmasi Malahayati</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4</w:t>
      </w:r>
      <w:r w:rsidRPr="007D0006">
        <w:rPr>
          <w:rFonts w:ascii="Times New Roman" w:eastAsia="Times New Roman" w:hAnsi="Times New Roman" w:cs="Times New Roman"/>
          <w:noProof/>
          <w:sz w:val="24"/>
          <w:szCs w:val="24"/>
          <w:lang w:val="en-US"/>
        </w:rPr>
        <w:t>(2), 205–215. https://doi.org/10.33024/jfm.v4i2.5315</w:t>
      </w:r>
    </w:p>
    <w:p w14:paraId="55B08048"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Rikomah, S. E. (2017). </w:t>
      </w:r>
      <w:r w:rsidRPr="007D0006">
        <w:rPr>
          <w:rFonts w:ascii="Times New Roman" w:eastAsia="Times New Roman" w:hAnsi="Times New Roman" w:cs="Times New Roman"/>
          <w:i/>
          <w:iCs/>
          <w:noProof/>
          <w:sz w:val="24"/>
          <w:szCs w:val="24"/>
          <w:lang w:val="en-US"/>
        </w:rPr>
        <w:t>Farmasi Rumah Sakit</w:t>
      </w:r>
      <w:r w:rsidRPr="007D0006">
        <w:rPr>
          <w:rFonts w:ascii="Times New Roman" w:eastAsia="Times New Roman" w:hAnsi="Times New Roman" w:cs="Times New Roman"/>
          <w:noProof/>
          <w:sz w:val="24"/>
          <w:szCs w:val="24"/>
          <w:lang w:val="en-US"/>
        </w:rPr>
        <w:t>. Deepublish.</w:t>
      </w:r>
    </w:p>
    <w:p w14:paraId="6F3624D1"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Sari, R., Isadiartuti, D., Agus, M., Rijal, S., Retnowati, D., Monika, D., Ratri, N., Diyah, N. W., &amp; Wahyuni, T. S. (2023). </w:t>
      </w:r>
      <w:r w:rsidRPr="007D0006">
        <w:rPr>
          <w:rFonts w:ascii="Times New Roman" w:eastAsia="Times New Roman" w:hAnsi="Times New Roman" w:cs="Times New Roman"/>
          <w:iCs/>
          <w:noProof/>
          <w:sz w:val="24"/>
          <w:szCs w:val="24"/>
          <w:lang w:val="en-US"/>
        </w:rPr>
        <w:t>Pharmacist Competency Improvement In Sterile Dispensing At Health Facility Services In Lampung Peningkatan Kompetensi Apoteker Dalam Penanganan Sediaan Steril Pada Fasilitas Kesehatan Di Lampung</w:t>
      </w:r>
      <w:r w:rsidRPr="007D0006">
        <w:rPr>
          <w:rFonts w:ascii="Times New Roman" w:eastAsia="Times New Roman" w:hAnsi="Times New Roman" w:cs="Times New Roman"/>
          <w:i/>
          <w:iCs/>
          <w:noProof/>
          <w:sz w:val="24"/>
          <w:szCs w:val="24"/>
          <w:lang w:val="en-US"/>
        </w:rPr>
        <w:t xml:space="preserve"> Departemen Ilmu Kefarmasian , Fakultas Farmasi , Universitas Airlangga Departemen Farmasi Praktis , Fakultas Farmasi , Universitas Airlangga penduduk terbanyak di kota Bandar Lampung . Dari data pada tahun 2019 , fasilitas kesehatan yang terdapat di Lampung meliputi 62 rumah sakit , 27 rumah sakit bersalin , 360 poliklinik dan 336 puskesmas serta terdapat 373 apotek . Jumlah tenaga apoteker di fasilitas kesehatan pada tahun 2020 tercatat sejumlah 316 orang , terbanyak di kabupaten Bandar Lampung sejumlah 84 orang . Kota Bandar Lampung dengan luas wilayah 197 , 22 km 2 dengan jumlah RSU swasta dan daerah 10 buah . Sebagai wilayah terpadat di Lampung , Bandar Lampung memiliki fasilitas kesehatan dengan jumlah tertinggi . Peran apoteker di fasilitas kesehatan dalam pelayanan kefarmasian dan penggunaan obat sangat penting baik di rumah sakit dan fasilitas kesehatan lainnya ( Badan Pusat Statistik Provinsi Lampung , 2021 ).</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7</w:t>
      </w:r>
      <w:r w:rsidRPr="007D0006">
        <w:rPr>
          <w:rFonts w:ascii="Times New Roman" w:eastAsia="Times New Roman" w:hAnsi="Times New Roman" w:cs="Times New Roman"/>
          <w:noProof/>
          <w:sz w:val="24"/>
          <w:szCs w:val="24"/>
          <w:lang w:val="en-US"/>
        </w:rPr>
        <w:t>(1), 114–122.</w:t>
      </w:r>
    </w:p>
    <w:p w14:paraId="0B2F5DE4"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Sidrotullah, M., &amp; Pahmi, K. (2020). Evaluasi Pelaksanaan Standar Pelayanan Farmasi Di Rumah Sakit Umum Daerah Kelas C di Propinsi Nusa Tenggara Barat. </w:t>
      </w:r>
      <w:r w:rsidRPr="007D0006">
        <w:rPr>
          <w:rFonts w:ascii="Times New Roman" w:eastAsia="Times New Roman" w:hAnsi="Times New Roman" w:cs="Times New Roman"/>
          <w:i/>
          <w:iCs/>
          <w:noProof/>
          <w:sz w:val="24"/>
          <w:szCs w:val="24"/>
          <w:lang w:val="en-US"/>
        </w:rPr>
        <w:t>Journal Syifa Sciences and Clinical Research</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2</w:t>
      </w:r>
      <w:r w:rsidRPr="007D0006">
        <w:rPr>
          <w:rFonts w:ascii="Times New Roman" w:eastAsia="Times New Roman" w:hAnsi="Times New Roman" w:cs="Times New Roman"/>
          <w:noProof/>
          <w:sz w:val="24"/>
          <w:szCs w:val="24"/>
          <w:lang w:val="en-US"/>
        </w:rPr>
        <w:t>(1), 21–30. https://doi.org/https://doi.org/10.37311/jsscr.v2i1.4514</w:t>
      </w:r>
    </w:p>
    <w:p w14:paraId="33319FF6"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Type, I., &amp; Emilia, V. (2018). An assessment of supply chain vulnerabilities to dynamic disruptions in the pharmaceutical supply chain. </w:t>
      </w:r>
      <w:r w:rsidRPr="007D0006">
        <w:rPr>
          <w:rFonts w:ascii="Times New Roman" w:eastAsia="Times New Roman" w:hAnsi="Times New Roman" w:cs="Times New Roman"/>
          <w:i/>
          <w:iCs/>
          <w:noProof/>
          <w:sz w:val="24"/>
          <w:szCs w:val="24"/>
          <w:lang w:val="en-US"/>
        </w:rPr>
        <w:t>University of Bradford</w:t>
      </w:r>
      <w:r w:rsidRPr="007D0006">
        <w:rPr>
          <w:rFonts w:ascii="Times New Roman" w:eastAsia="Times New Roman" w:hAnsi="Times New Roman" w:cs="Times New Roman"/>
          <w:noProof/>
          <w:sz w:val="24"/>
          <w:szCs w:val="24"/>
          <w:lang w:val="en-US"/>
        </w:rPr>
        <w:t>. http://hdl.handle.net/10454/16771</w:t>
      </w:r>
    </w:p>
    <w:p w14:paraId="11D279AF"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szCs w:val="24"/>
          <w:lang w:val="en-US"/>
        </w:rPr>
      </w:pPr>
      <w:r w:rsidRPr="007D0006">
        <w:rPr>
          <w:rFonts w:ascii="Times New Roman" w:eastAsia="Times New Roman" w:hAnsi="Times New Roman" w:cs="Times New Roman"/>
          <w:noProof/>
          <w:sz w:val="24"/>
          <w:szCs w:val="24"/>
          <w:lang w:val="en-US"/>
        </w:rPr>
        <w:t xml:space="preserve">Wiyati, E. R. (2023). Penerapan Aplikasi Sipio Berbasis Smartphone Untuk Meningkatkan Pelayanan Farmasi Klinik Apoteker Di Rsud Simpang Lima Gumul Kediri. </w:t>
      </w:r>
      <w:r w:rsidRPr="007D0006">
        <w:rPr>
          <w:rFonts w:ascii="Times New Roman" w:eastAsia="Times New Roman" w:hAnsi="Times New Roman" w:cs="Times New Roman"/>
          <w:i/>
          <w:iCs/>
          <w:noProof/>
          <w:sz w:val="24"/>
          <w:szCs w:val="24"/>
          <w:lang w:val="en-US"/>
        </w:rPr>
        <w:t>Jurnal Abdi Masyarakat</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7</w:t>
      </w:r>
      <w:r w:rsidRPr="007D0006">
        <w:rPr>
          <w:rFonts w:ascii="Times New Roman" w:eastAsia="Times New Roman" w:hAnsi="Times New Roman" w:cs="Times New Roman"/>
          <w:noProof/>
          <w:sz w:val="24"/>
          <w:szCs w:val="24"/>
          <w:lang w:val="en-US"/>
        </w:rPr>
        <w:t>(1), 94–108. https://doi.org/10.30737/jaim.v7i1.4934</w:t>
      </w:r>
    </w:p>
    <w:p w14:paraId="5292F5D5" w14:textId="77777777" w:rsidR="00A52622" w:rsidRPr="007D0006" w:rsidRDefault="00A52622" w:rsidP="007D0006">
      <w:pPr>
        <w:pStyle w:val="ListParagraph"/>
        <w:widowControl w:val="0"/>
        <w:numPr>
          <w:ilvl w:val="0"/>
          <w:numId w:val="4"/>
        </w:numPr>
        <w:autoSpaceDE w:val="0"/>
        <w:autoSpaceDN w:val="0"/>
        <w:adjustRightInd w:val="0"/>
        <w:spacing w:after="0" w:line="360" w:lineRule="auto"/>
        <w:jc w:val="both"/>
        <w:rPr>
          <w:rFonts w:ascii="Times New Roman" w:eastAsia="Times New Roman" w:hAnsi="Times New Roman" w:cs="Times New Roman"/>
          <w:noProof/>
          <w:sz w:val="24"/>
          <w:lang w:val="en-US"/>
        </w:rPr>
      </w:pPr>
      <w:r w:rsidRPr="007D0006">
        <w:rPr>
          <w:rFonts w:ascii="Times New Roman" w:eastAsia="Times New Roman" w:hAnsi="Times New Roman" w:cs="Times New Roman"/>
          <w:noProof/>
          <w:sz w:val="24"/>
          <w:szCs w:val="24"/>
          <w:lang w:val="en-US"/>
        </w:rPr>
        <w:t xml:space="preserve">Yuswantina, R., Dyahariesti, N., Rahmawati, N. R., &amp; Sukma, N. (2020). Analisis Tingkat Kepuasan Pasien Terhadap Pelayanan Kefarmasian Di Rumah Sakit Bhakti Wira Tamtama Semarang. </w:t>
      </w:r>
      <w:r w:rsidRPr="007D0006">
        <w:rPr>
          <w:rFonts w:ascii="Times New Roman" w:eastAsia="Times New Roman" w:hAnsi="Times New Roman" w:cs="Times New Roman"/>
          <w:i/>
          <w:iCs/>
          <w:noProof/>
          <w:sz w:val="24"/>
          <w:szCs w:val="24"/>
          <w:lang w:val="en-US"/>
        </w:rPr>
        <w:t>Indonesian Journal of Pharmacy and Natural Product</w:t>
      </w:r>
      <w:r w:rsidRPr="007D0006">
        <w:rPr>
          <w:rFonts w:ascii="Times New Roman" w:eastAsia="Times New Roman" w:hAnsi="Times New Roman" w:cs="Times New Roman"/>
          <w:noProof/>
          <w:sz w:val="24"/>
          <w:szCs w:val="24"/>
          <w:lang w:val="en-US"/>
        </w:rPr>
        <w:t xml:space="preserve">, </w:t>
      </w:r>
      <w:r w:rsidRPr="007D0006">
        <w:rPr>
          <w:rFonts w:ascii="Times New Roman" w:eastAsia="Times New Roman" w:hAnsi="Times New Roman" w:cs="Times New Roman"/>
          <w:i/>
          <w:iCs/>
          <w:noProof/>
          <w:sz w:val="24"/>
          <w:szCs w:val="24"/>
          <w:lang w:val="en-US"/>
        </w:rPr>
        <w:t>3</w:t>
      </w:r>
      <w:r w:rsidRPr="007D0006">
        <w:rPr>
          <w:rFonts w:ascii="Times New Roman" w:eastAsia="Times New Roman" w:hAnsi="Times New Roman" w:cs="Times New Roman"/>
          <w:noProof/>
          <w:sz w:val="24"/>
          <w:szCs w:val="24"/>
          <w:lang w:val="en-US"/>
        </w:rPr>
        <w:t>(2), 59–67. https://doi.org/https://doi.org/10.35473/ijpnp.v3i2.665</w:t>
      </w:r>
      <w:r w:rsidRPr="007D0006">
        <w:rPr>
          <w:rFonts w:ascii="Times New Roman" w:eastAsia="Times New Roman" w:hAnsi="Times New Roman" w:cs="Times New Roman"/>
          <w:noProof/>
          <w:sz w:val="24"/>
          <w:lang w:val="en-US"/>
        </w:rPr>
        <w:t>.</w:t>
      </w:r>
      <w:r w:rsidRPr="007D0006">
        <w:rPr>
          <w:rFonts w:ascii="Times New Roman" w:eastAsia="Times New Roman" w:hAnsi="Times New Roman" w:cs="Times New Roman"/>
          <w:sz w:val="24"/>
          <w:szCs w:val="24"/>
          <w:lang w:val="en-US"/>
        </w:rPr>
        <w:t xml:space="preserve"> </w:t>
      </w:r>
    </w:p>
    <w:sectPr w:rsidR="00A52622" w:rsidRPr="007D0006" w:rsidSect="00AA0A0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pgNumType w:start="1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E4107" w14:textId="77777777" w:rsidR="00F84031" w:rsidRDefault="00F84031" w:rsidP="00811A48">
      <w:pPr>
        <w:spacing w:after="0" w:line="240" w:lineRule="auto"/>
      </w:pPr>
      <w:r>
        <w:separator/>
      </w:r>
    </w:p>
  </w:endnote>
  <w:endnote w:type="continuationSeparator" w:id="0">
    <w:p w14:paraId="6C698FAA" w14:textId="77777777" w:rsidR="00F84031" w:rsidRDefault="00F84031" w:rsidP="0081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0000000000000000000"/>
    <w:charset w:val="02"/>
    <w:family w:val="auto"/>
    <w:notTrueType/>
    <w:pitch w:val="variable"/>
  </w:font>
  <w:font w:name="Calibri">
    <w:panose1 w:val="020F0502020204030204"/>
    <w:charset w:val="00"/>
    <w:family w:val="swiss"/>
    <w:pitch w:val="variable"/>
    <w:sig w:usb0="E4002EFF" w:usb1="C000247B" w:usb2="00000009" w:usb3="00000000" w:csb0="000001FF" w:csb1="00000000"/>
    <w:embedRegular r:id="rId1" w:fontKey="{B5EBBE08-4617-4B5E-ADED-15D63625728C}"/>
    <w:embedBold r:id="rId2" w:fontKey="{FC7AA032-77EC-4753-99B6-16EE8E1A2961}"/>
    <w:embedItalic r:id="rId3" w:fontKey="{F041E7DC-D4CF-42B1-A274-73727709A507}"/>
    <w:embedBoldItalic r:id="rId4" w:fontKey="{7DB39CD7-B2CC-4FBC-B544-1ACD1477B07D}"/>
  </w:font>
  <w:font w:name="Georgia">
    <w:panose1 w:val="02040502050405020303"/>
    <w:charset w:val="00"/>
    <w:family w:val="roman"/>
    <w:pitch w:val="variable"/>
    <w:sig w:usb0="00000287" w:usb1="00000000" w:usb2="00000000" w:usb3="00000000" w:csb0="0000009F" w:csb1="00000000"/>
    <w:embedRegular r:id="rId5" w:fontKey="{D7ECEF14-2781-4893-A7BF-C6D4548BBAA0}"/>
    <w:embedItalic r:id="rId6" w:fontKey="{E2F3D305-B0C8-4F48-8469-B64DFE0DE95F}"/>
  </w:font>
  <w:font w:name="Tahoma">
    <w:panose1 w:val="020B0604030504040204"/>
    <w:charset w:val="00"/>
    <w:family w:val="swiss"/>
    <w:pitch w:val="variable"/>
    <w:sig w:usb0="E1002EFF" w:usb1="C000605B" w:usb2="00000029" w:usb3="00000000" w:csb0="000101FF" w:csb1="00000000"/>
    <w:embedRegular r:id="rId7" w:fontKey="{B0A3BB3D-91B2-4EE5-9624-7C696C909223}"/>
  </w:font>
  <w:font w:name="Cambria">
    <w:panose1 w:val="02040503050406030204"/>
    <w:charset w:val="00"/>
    <w:family w:val="roman"/>
    <w:pitch w:val="variable"/>
    <w:sig w:usb0="E00006FF" w:usb1="420024FF" w:usb2="02000000" w:usb3="00000000" w:csb0="0000019F" w:csb1="00000000"/>
    <w:embedRegular r:id="rId8" w:fontKey="{F4045D24-7A01-49B7-8E1F-EB413248E01D}"/>
    <w:embedBold r:id="rId9" w:fontKey="{A01D0F00-2235-4739-84B8-77CC578EF6AC}"/>
    <w:embedItalic r:id="rId10" w:fontKey="{087BA0A5-8570-4C4C-8472-0EFD4354F5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0F7ED" w14:textId="77777777" w:rsidR="00AA0A09" w:rsidRDefault="00AA0A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75343"/>
      <w:docPartObj>
        <w:docPartGallery w:val="Page Numbers (Bottom of Page)"/>
        <w:docPartUnique/>
      </w:docPartObj>
    </w:sdtPr>
    <w:sdtEndPr>
      <w:rPr>
        <w:rFonts w:ascii="Times New Roman" w:hAnsi="Times New Roman" w:cs="Times New Roman"/>
        <w:noProof/>
      </w:rPr>
    </w:sdtEndPr>
    <w:sdtContent>
      <w:bookmarkStart w:id="9" w:name="_GoBack" w:displacedByCustomXml="prev"/>
      <w:bookmarkEnd w:id="9" w:displacedByCustomXml="prev"/>
      <w:p w14:paraId="724A134C" w14:textId="275208B2" w:rsidR="00811A48" w:rsidRPr="00AA3330" w:rsidRDefault="00811A48">
        <w:pPr>
          <w:pStyle w:val="Footer"/>
          <w:jc w:val="center"/>
          <w:rPr>
            <w:rFonts w:ascii="Times New Roman" w:hAnsi="Times New Roman" w:cs="Times New Roman"/>
          </w:rPr>
        </w:pPr>
        <w:r w:rsidRPr="00AA3330">
          <w:rPr>
            <w:rFonts w:ascii="Times New Roman" w:hAnsi="Times New Roman" w:cs="Times New Roman"/>
          </w:rPr>
          <w:fldChar w:fldCharType="begin"/>
        </w:r>
        <w:r w:rsidRPr="00AA3330">
          <w:rPr>
            <w:rFonts w:ascii="Times New Roman" w:hAnsi="Times New Roman" w:cs="Times New Roman"/>
          </w:rPr>
          <w:instrText xml:space="preserve"> PAGE   \* MERGEFORMAT </w:instrText>
        </w:r>
        <w:r w:rsidRPr="00AA3330">
          <w:rPr>
            <w:rFonts w:ascii="Times New Roman" w:hAnsi="Times New Roman" w:cs="Times New Roman"/>
          </w:rPr>
          <w:fldChar w:fldCharType="separate"/>
        </w:r>
        <w:r w:rsidR="00AA0A09">
          <w:rPr>
            <w:rFonts w:ascii="Times New Roman" w:hAnsi="Times New Roman" w:cs="Times New Roman"/>
            <w:noProof/>
          </w:rPr>
          <w:t>179</w:t>
        </w:r>
        <w:r w:rsidRPr="00AA3330">
          <w:rPr>
            <w:rFonts w:ascii="Times New Roman" w:hAnsi="Times New Roman" w:cs="Times New Roman"/>
            <w:noProof/>
          </w:rPr>
          <w:fldChar w:fldCharType="end"/>
        </w:r>
      </w:p>
    </w:sdtContent>
  </w:sdt>
  <w:p w14:paraId="57B163A5" w14:textId="77777777" w:rsidR="00811A48" w:rsidRDefault="00811A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3FECC" w14:textId="77777777" w:rsidR="00AA0A09" w:rsidRDefault="00AA0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A4D09" w14:textId="77777777" w:rsidR="00F84031" w:rsidRDefault="00F84031" w:rsidP="00811A48">
      <w:pPr>
        <w:spacing w:after="0" w:line="240" w:lineRule="auto"/>
      </w:pPr>
      <w:r>
        <w:separator/>
      </w:r>
    </w:p>
  </w:footnote>
  <w:footnote w:type="continuationSeparator" w:id="0">
    <w:p w14:paraId="47C34E96" w14:textId="77777777" w:rsidR="00F84031" w:rsidRDefault="00F84031" w:rsidP="00811A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191FF" w14:textId="77777777" w:rsidR="00AA0A09" w:rsidRDefault="00AA0A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BE0EB" w14:textId="0500B146" w:rsidR="00811A48" w:rsidRDefault="00811A48" w:rsidP="00811A48">
    <w:pPr>
      <w:pStyle w:val="Header"/>
      <w:tabs>
        <w:tab w:val="clear" w:pos="9360"/>
        <w:tab w:val="right" w:pos="9090"/>
      </w:tabs>
    </w:pPr>
    <w:r w:rsidRPr="0040091B">
      <w:rPr>
        <w:rStyle w:val="IntenseEmphasis"/>
        <w:rFonts w:ascii="Times New Roman" w:hAnsi="Times New Roman" w:cs="Times New Roman"/>
      </w:rPr>
      <w:t xml:space="preserve">Jurnal Kesehatan Pharmasi </w:t>
    </w:r>
    <w:r>
      <w:rPr>
        <w:rStyle w:val="IntenseEmphasis"/>
        <w:rFonts w:ascii="Times New Roman" w:hAnsi="Times New Roman" w:cs="Times New Roman"/>
      </w:rPr>
      <w:t>Vol.VII No.2 Desember</w:t>
    </w:r>
    <w:r w:rsidRPr="0040091B">
      <w:rPr>
        <w:rStyle w:val="IntenseEmphasis"/>
        <w:rFonts w:ascii="Times New Roman" w:hAnsi="Times New Roman" w:cs="Times New Roman"/>
      </w:rPr>
      <w:t xml:space="preserve"> 2025</w:t>
    </w:r>
    <w:r w:rsidRPr="0040091B">
      <w:rPr>
        <w:rStyle w:val="IntenseEmphasis"/>
        <w:rFonts w:ascii="Times New Roman" w:hAnsi="Times New Roman" w:cs="Times New Roman"/>
      </w:rPr>
      <w:tab/>
    </w:r>
    <w:r w:rsidRPr="0040091B">
      <w:rPr>
        <w:rFonts w:ascii="Times New Roman" w:hAnsi="Times New Roman" w:cs="Times New Roman"/>
      </w:rPr>
      <w:t>ISSN 2829-3711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C9282" w14:textId="77777777" w:rsidR="00AA0A09" w:rsidRDefault="00AA0A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4DD2"/>
    <w:multiLevelType w:val="multilevel"/>
    <w:tmpl w:val="22241D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86706C9"/>
    <w:multiLevelType w:val="multilevel"/>
    <w:tmpl w:val="01E884C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D72762"/>
    <w:multiLevelType w:val="hybridMultilevel"/>
    <w:tmpl w:val="DEACEA5C"/>
    <w:lvl w:ilvl="0" w:tplc="38090015">
      <w:start w:val="1"/>
      <w:numFmt w:val="upp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nsid w:val="15687042"/>
    <w:multiLevelType w:val="multilevel"/>
    <w:tmpl w:val="D6B20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648F4"/>
    <w:multiLevelType w:val="hybridMultilevel"/>
    <w:tmpl w:val="D75EB4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2675767"/>
    <w:multiLevelType w:val="hybridMultilevel"/>
    <w:tmpl w:val="DEACEA5C"/>
    <w:lvl w:ilvl="0" w:tplc="FFFFFFFF">
      <w:start w:val="1"/>
      <w:numFmt w:val="upp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nsid w:val="51033349"/>
    <w:multiLevelType w:val="hybridMultilevel"/>
    <w:tmpl w:val="57A4812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6E410D36"/>
    <w:multiLevelType w:val="hybridMultilevel"/>
    <w:tmpl w:val="12C0B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4"/>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695"/>
    <w:rsid w:val="002F03AB"/>
    <w:rsid w:val="003F6561"/>
    <w:rsid w:val="00535414"/>
    <w:rsid w:val="006A44A2"/>
    <w:rsid w:val="006C2054"/>
    <w:rsid w:val="0070184E"/>
    <w:rsid w:val="007D0006"/>
    <w:rsid w:val="00811A48"/>
    <w:rsid w:val="0086709C"/>
    <w:rsid w:val="008F230A"/>
    <w:rsid w:val="00913F14"/>
    <w:rsid w:val="00940726"/>
    <w:rsid w:val="0098302B"/>
    <w:rsid w:val="00A52622"/>
    <w:rsid w:val="00A72321"/>
    <w:rsid w:val="00AA0A09"/>
    <w:rsid w:val="00AA3330"/>
    <w:rsid w:val="00AF161B"/>
    <w:rsid w:val="00BF5A86"/>
    <w:rsid w:val="00C43146"/>
    <w:rsid w:val="00C51E09"/>
    <w:rsid w:val="00D01695"/>
    <w:rsid w:val="00D406F9"/>
    <w:rsid w:val="00D50AD7"/>
    <w:rsid w:val="00F32B32"/>
    <w:rsid w:val="00F84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rsid w:val="00535D00"/>
    <w:pPr>
      <w:keepNext/>
      <w:keepLines/>
      <w:spacing w:before="480" w:after="120"/>
      <w:outlineLvl w:val="0"/>
    </w:pPr>
    <w:rPr>
      <w:b/>
      <w:sz w:val="48"/>
      <w:szCs w:val="48"/>
    </w:rPr>
  </w:style>
  <w:style w:type="paragraph" w:styleId="Heading2">
    <w:name w:val="heading 2"/>
    <w:basedOn w:val="Normal1"/>
    <w:next w:val="Normal1"/>
    <w:uiPriority w:val="9"/>
    <w:semiHidden/>
    <w:unhideWhenUsed/>
    <w:qFormat/>
    <w:rsid w:val="00535D00"/>
    <w:pPr>
      <w:keepNext/>
      <w:keepLines/>
      <w:spacing w:before="360" w:after="80"/>
      <w:outlineLvl w:val="1"/>
    </w:pPr>
    <w:rPr>
      <w:b/>
      <w:sz w:val="36"/>
      <w:szCs w:val="36"/>
    </w:rPr>
  </w:style>
  <w:style w:type="paragraph" w:styleId="Heading3">
    <w:name w:val="heading 3"/>
    <w:basedOn w:val="Normal1"/>
    <w:next w:val="Normal1"/>
    <w:uiPriority w:val="9"/>
    <w:semiHidden/>
    <w:unhideWhenUsed/>
    <w:qFormat/>
    <w:rsid w:val="00535D00"/>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535D00"/>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535D00"/>
    <w:pPr>
      <w:keepNext/>
      <w:keepLines/>
      <w:spacing w:before="220" w:after="40"/>
      <w:outlineLvl w:val="4"/>
    </w:pPr>
    <w:rPr>
      <w:b/>
    </w:rPr>
  </w:style>
  <w:style w:type="paragraph" w:styleId="Heading6">
    <w:name w:val="heading 6"/>
    <w:basedOn w:val="Normal1"/>
    <w:next w:val="Normal1"/>
    <w:uiPriority w:val="9"/>
    <w:semiHidden/>
    <w:unhideWhenUsed/>
    <w:qFormat/>
    <w:rsid w:val="00535D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1"/>
    <w:next w:val="Normal1"/>
    <w:uiPriority w:val="10"/>
    <w:qFormat/>
    <w:rsid w:val="00535D00"/>
    <w:pPr>
      <w:keepNext/>
      <w:keepLines/>
      <w:spacing w:before="480" w:after="120"/>
    </w:pPr>
    <w:rPr>
      <w:b/>
      <w:sz w:val="72"/>
      <w:szCs w:val="72"/>
    </w:rPr>
  </w:style>
  <w:style w:type="paragraph" w:customStyle="1" w:styleId="Normal1">
    <w:name w:val="Normal1"/>
    <w:rsid w:val="00535D00"/>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535D00"/>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03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C10"/>
    <w:rPr>
      <w:rFonts w:ascii="Tahoma" w:hAnsi="Tahoma" w:cs="Tahoma"/>
      <w:sz w:val="16"/>
      <w:szCs w:val="16"/>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7D0006"/>
    <w:pPr>
      <w:ind w:left="720"/>
      <w:contextualSpacing/>
    </w:pPr>
  </w:style>
  <w:style w:type="table" w:customStyle="1" w:styleId="TableGrid1">
    <w:name w:val="Table Grid1"/>
    <w:basedOn w:val="TableNormal"/>
    <w:next w:val="TableGrid"/>
    <w:uiPriority w:val="59"/>
    <w:qFormat/>
    <w:rsid w:val="00C51E09"/>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5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61">
    <w:name w:val="List Table 6 Colorful - Accent 61"/>
    <w:basedOn w:val="TableNormal"/>
    <w:uiPriority w:val="51"/>
    <w:rsid w:val="00D406F9"/>
    <w:pPr>
      <w:spacing w:after="0" w:line="240" w:lineRule="auto"/>
    </w:pPr>
    <w:rPr>
      <w:rFonts w:asciiTheme="minorHAnsi" w:eastAsiaTheme="minorHAnsi" w:hAnsiTheme="minorHAnsi" w:cstheme="minorBidi"/>
      <w:color w:val="E36C0A" w:themeColor="accent6" w:themeShade="BF"/>
      <w:kern w:val="2"/>
      <w:lang w:val="en-ID"/>
      <w14:ligatures w14:val="standardContextual"/>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1Light-Accent61">
    <w:name w:val="List Table 1 Light - Accent 61"/>
    <w:basedOn w:val="TableNormal"/>
    <w:uiPriority w:val="46"/>
    <w:rsid w:val="008F230A"/>
    <w:pPr>
      <w:spacing w:after="0" w:line="240" w:lineRule="auto"/>
    </w:pPr>
    <w:rPr>
      <w:rFonts w:asciiTheme="minorHAnsi" w:eastAsiaTheme="minorHAnsi" w:hAnsiTheme="minorHAnsi" w:cstheme="minorBidi"/>
      <w:kern w:val="2"/>
      <w:lang w:val="en-ID"/>
      <w14:ligatures w14:val="standardContextual"/>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eader">
    <w:name w:val="header"/>
    <w:basedOn w:val="Normal"/>
    <w:link w:val="HeaderChar"/>
    <w:uiPriority w:val="99"/>
    <w:unhideWhenUsed/>
    <w:rsid w:val="00811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A48"/>
  </w:style>
  <w:style w:type="paragraph" w:styleId="Footer">
    <w:name w:val="footer"/>
    <w:basedOn w:val="Normal"/>
    <w:link w:val="FooterChar"/>
    <w:uiPriority w:val="99"/>
    <w:unhideWhenUsed/>
    <w:rsid w:val="00811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A48"/>
  </w:style>
  <w:style w:type="character" w:styleId="IntenseEmphasis">
    <w:name w:val="Intense Emphasis"/>
    <w:basedOn w:val="DefaultParagraphFont"/>
    <w:uiPriority w:val="21"/>
    <w:qFormat/>
    <w:rsid w:val="00811A48"/>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rsid w:val="00535D00"/>
    <w:pPr>
      <w:keepNext/>
      <w:keepLines/>
      <w:spacing w:before="480" w:after="120"/>
      <w:outlineLvl w:val="0"/>
    </w:pPr>
    <w:rPr>
      <w:b/>
      <w:sz w:val="48"/>
      <w:szCs w:val="48"/>
    </w:rPr>
  </w:style>
  <w:style w:type="paragraph" w:styleId="Heading2">
    <w:name w:val="heading 2"/>
    <w:basedOn w:val="Normal1"/>
    <w:next w:val="Normal1"/>
    <w:uiPriority w:val="9"/>
    <w:semiHidden/>
    <w:unhideWhenUsed/>
    <w:qFormat/>
    <w:rsid w:val="00535D00"/>
    <w:pPr>
      <w:keepNext/>
      <w:keepLines/>
      <w:spacing w:before="360" w:after="80"/>
      <w:outlineLvl w:val="1"/>
    </w:pPr>
    <w:rPr>
      <w:b/>
      <w:sz w:val="36"/>
      <w:szCs w:val="36"/>
    </w:rPr>
  </w:style>
  <w:style w:type="paragraph" w:styleId="Heading3">
    <w:name w:val="heading 3"/>
    <w:basedOn w:val="Normal1"/>
    <w:next w:val="Normal1"/>
    <w:uiPriority w:val="9"/>
    <w:semiHidden/>
    <w:unhideWhenUsed/>
    <w:qFormat/>
    <w:rsid w:val="00535D00"/>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535D00"/>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535D00"/>
    <w:pPr>
      <w:keepNext/>
      <w:keepLines/>
      <w:spacing w:before="220" w:after="40"/>
      <w:outlineLvl w:val="4"/>
    </w:pPr>
    <w:rPr>
      <w:b/>
    </w:rPr>
  </w:style>
  <w:style w:type="paragraph" w:styleId="Heading6">
    <w:name w:val="heading 6"/>
    <w:basedOn w:val="Normal1"/>
    <w:next w:val="Normal1"/>
    <w:uiPriority w:val="9"/>
    <w:semiHidden/>
    <w:unhideWhenUsed/>
    <w:qFormat/>
    <w:rsid w:val="00535D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1"/>
    <w:next w:val="Normal1"/>
    <w:uiPriority w:val="10"/>
    <w:qFormat/>
    <w:rsid w:val="00535D00"/>
    <w:pPr>
      <w:keepNext/>
      <w:keepLines/>
      <w:spacing w:before="480" w:after="120"/>
    </w:pPr>
    <w:rPr>
      <w:b/>
      <w:sz w:val="72"/>
      <w:szCs w:val="72"/>
    </w:rPr>
  </w:style>
  <w:style w:type="paragraph" w:customStyle="1" w:styleId="Normal1">
    <w:name w:val="Normal1"/>
    <w:rsid w:val="00535D00"/>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535D00"/>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03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C10"/>
    <w:rPr>
      <w:rFonts w:ascii="Tahoma" w:hAnsi="Tahoma" w:cs="Tahoma"/>
      <w:sz w:val="16"/>
      <w:szCs w:val="16"/>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7D0006"/>
    <w:pPr>
      <w:ind w:left="720"/>
      <w:contextualSpacing/>
    </w:pPr>
  </w:style>
  <w:style w:type="table" w:customStyle="1" w:styleId="TableGrid1">
    <w:name w:val="Table Grid1"/>
    <w:basedOn w:val="TableNormal"/>
    <w:next w:val="TableGrid"/>
    <w:uiPriority w:val="59"/>
    <w:qFormat/>
    <w:rsid w:val="00C51E09"/>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5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61">
    <w:name w:val="List Table 6 Colorful - Accent 61"/>
    <w:basedOn w:val="TableNormal"/>
    <w:uiPriority w:val="51"/>
    <w:rsid w:val="00D406F9"/>
    <w:pPr>
      <w:spacing w:after="0" w:line="240" w:lineRule="auto"/>
    </w:pPr>
    <w:rPr>
      <w:rFonts w:asciiTheme="minorHAnsi" w:eastAsiaTheme="minorHAnsi" w:hAnsiTheme="minorHAnsi" w:cstheme="minorBidi"/>
      <w:color w:val="E36C0A" w:themeColor="accent6" w:themeShade="BF"/>
      <w:kern w:val="2"/>
      <w:lang w:val="en-ID"/>
      <w14:ligatures w14:val="standardContextual"/>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1Light-Accent61">
    <w:name w:val="List Table 1 Light - Accent 61"/>
    <w:basedOn w:val="TableNormal"/>
    <w:uiPriority w:val="46"/>
    <w:rsid w:val="008F230A"/>
    <w:pPr>
      <w:spacing w:after="0" w:line="240" w:lineRule="auto"/>
    </w:pPr>
    <w:rPr>
      <w:rFonts w:asciiTheme="minorHAnsi" w:eastAsiaTheme="minorHAnsi" w:hAnsiTheme="minorHAnsi" w:cstheme="minorBidi"/>
      <w:kern w:val="2"/>
      <w:lang w:val="en-ID"/>
      <w14:ligatures w14:val="standardContextual"/>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eader">
    <w:name w:val="header"/>
    <w:basedOn w:val="Normal"/>
    <w:link w:val="HeaderChar"/>
    <w:uiPriority w:val="99"/>
    <w:unhideWhenUsed/>
    <w:rsid w:val="00811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A48"/>
  </w:style>
  <w:style w:type="paragraph" w:styleId="Footer">
    <w:name w:val="footer"/>
    <w:basedOn w:val="Normal"/>
    <w:link w:val="FooterChar"/>
    <w:uiPriority w:val="99"/>
    <w:unhideWhenUsed/>
    <w:rsid w:val="00811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A48"/>
  </w:style>
  <w:style w:type="character" w:styleId="IntenseEmphasis">
    <w:name w:val="Intense Emphasis"/>
    <w:basedOn w:val="DefaultParagraphFont"/>
    <w:uiPriority w:val="21"/>
    <w:qFormat/>
    <w:rsid w:val="00811A48"/>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0.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0.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3%20workshop\Tugas%20Akhir%20D3\Artikel%20Publish%20Manajemen%20Dedent\Book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D3%20workshop\Tugas%20Akhir%20D3\Artikel%20Publish%20Manajemen%20Dedent\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3%20workshop\Tugas%20Akhir%20D3\Artikel%20Publish%20Manajemen%20Dedent\Book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D3%20workshop\Tugas%20Akhir%20D3\Artikel%20Publish%20Manajemen%20Dedent\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35"/>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227051330086175E-2"/>
          <c:y val="0.14682170542635656"/>
          <c:w val="0.54677177155028722"/>
          <c:h val="0.71364341085271321"/>
        </c:manualLayout>
      </c:layout>
      <c:pie3DChart>
        <c:varyColors val="1"/>
        <c:ser>
          <c:idx val="1"/>
          <c:order val="0"/>
          <c:tx>
            <c:strRef>
              <c:f>Sheet1!$BX$9</c:f>
              <c:strCache>
                <c:ptCount val="1"/>
                <c:pt idx="0">
                  <c:v>Prosentase</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D43-47A8-9FE2-89E24E0EA745}"/>
              </c:ext>
            </c:extLst>
          </c:dPt>
          <c:dPt>
            <c:idx val="1"/>
            <c:bubble3D val="0"/>
            <c:spPr>
              <a:solidFill>
                <a:schemeClr val="accent5">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D43-47A8-9FE2-89E24E0EA745}"/>
              </c:ext>
            </c:extLst>
          </c:dPt>
          <c:dPt>
            <c:idx val="2"/>
            <c:bubble3D val="0"/>
            <c:spPr>
              <a:solidFill>
                <a:schemeClr val="accent5">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D43-47A8-9FE2-89E24E0EA745}"/>
              </c:ext>
            </c:extLst>
          </c:dPt>
          <c:dPt>
            <c:idx val="3"/>
            <c:bubble3D val="0"/>
            <c:spPr>
              <a:solidFill>
                <a:schemeClr val="accent5">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D43-47A8-9FE2-89E24E0EA745}"/>
              </c:ext>
            </c:extLst>
          </c:dPt>
          <c:dPt>
            <c:idx val="4"/>
            <c:bubble3D val="0"/>
            <c:spPr>
              <a:solidFill>
                <a:schemeClr val="accent5">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8D43-47A8-9FE2-89E24E0EA745}"/>
              </c:ext>
            </c:extLst>
          </c:dPt>
          <c:dPt>
            <c:idx val="5"/>
            <c:bubble3D val="0"/>
            <c:spPr>
              <a:solidFill>
                <a:schemeClr val="accent5">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8D43-47A8-9FE2-89E24E0EA745}"/>
              </c:ext>
            </c:extLst>
          </c:dPt>
          <c:dPt>
            <c:idx val="6"/>
            <c:bubble3D val="0"/>
            <c:spPr>
              <a:solidFill>
                <a:schemeClr val="accent5">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8D43-47A8-9FE2-89E24E0EA745}"/>
              </c:ext>
            </c:extLst>
          </c:dPt>
          <c:dPt>
            <c:idx val="7"/>
            <c:bubble3D val="0"/>
            <c:spPr>
              <a:solidFill>
                <a:schemeClr val="accent2">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8D43-47A8-9FE2-89E24E0EA745}"/>
              </c:ext>
            </c:extLst>
          </c:dPt>
          <c:dPt>
            <c:idx val="8"/>
            <c:bubble3D val="0"/>
            <c:spPr>
              <a:solidFill>
                <a:schemeClr val="accent2">
                  <a:lumMod val="75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8D43-47A8-9FE2-89E24E0EA745}"/>
              </c:ext>
            </c:extLst>
          </c:dPt>
          <c:dLbls>
            <c:dLbl>
              <c:idx val="0"/>
              <c:tx>
                <c:rich>
                  <a:bodyPr/>
                  <a:lstStyle/>
                  <a:p>
                    <a:r>
                      <a:rPr lang="en-US" baseline="0"/>
                      <a:t>Max  </a:t>
                    </a:r>
                    <a:fld id="{521FADF2-FE3E-4E1C-AB77-CE8AD43D5076}" type="VALUE">
                      <a:rPr lang="en-US" baseline="0"/>
                      <a:pPr/>
                      <a:t>[VALUE]</a:t>
                    </a:fld>
                    <a:endParaRPr lang="en-US" baseline="0"/>
                  </a:p>
                </c:rich>
              </c:tx>
              <c:dLblPos val="ct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8D43-47A8-9FE2-89E24E0EA745}"/>
                </c:ext>
                <c:ext xmlns:c15="http://schemas.microsoft.com/office/drawing/2012/chart" uri="{CE6537A1-D6FC-4f65-9D91-7224C49458BB}">
                  <c15:dlblFieldTable/>
                  <c15:showDataLabelsRange val="0"/>
                </c:ext>
              </c:extLst>
            </c:dLbl>
            <c:dLbl>
              <c:idx val="7"/>
              <c:tx>
                <c:rich>
                  <a:bodyPr rot="0" spcFirstLastPara="1" vertOverflow="clip" horzOverflow="clip" vert="horz" wrap="square" lIns="38100" tIns="19050" rIns="38100" bIns="19050" anchor="ctr" anchorCtr="1">
                    <a:noAutofit/>
                  </a:bodyPr>
                  <a:lstStyle/>
                  <a:p>
                    <a:pPr>
                      <a:defRPr sz="1000" b="1" i="0" u="none" strike="noStrike" kern="1200" baseline="0">
                        <a:ln>
                          <a:noFill/>
                        </a:ln>
                        <a:solidFill>
                          <a:schemeClr val="lt1"/>
                        </a:solidFill>
                        <a:latin typeface="+mn-lt"/>
                        <a:ea typeface="+mn-ea"/>
                        <a:cs typeface="+mn-cs"/>
                      </a:defRPr>
                    </a:pPr>
                    <a:r>
                      <a:rPr lang="en-US" sz="800" baseline="0"/>
                      <a:t>Belum </a:t>
                    </a:r>
                  </a:p>
                  <a:p>
                    <a:pPr>
                      <a:defRPr sz="1000" b="1" i="0" u="none" strike="noStrike" kern="1200" baseline="0">
                        <a:ln>
                          <a:noFill/>
                        </a:ln>
                        <a:solidFill>
                          <a:schemeClr val="lt1"/>
                        </a:solidFill>
                        <a:latin typeface="+mn-lt"/>
                        <a:ea typeface="+mn-ea"/>
                        <a:cs typeface="+mn-cs"/>
                      </a:defRPr>
                    </a:pPr>
                    <a:r>
                      <a:rPr lang="en-US" sz="800" baseline="0"/>
                      <a:t>Max </a:t>
                    </a:r>
                    <a:fld id="{7CA3250D-082B-4997-8E3A-D42232A10D77}" type="VALUE">
                      <a:rPr lang="en-US" sz="800" baseline="0"/>
                      <a:pPr>
                        <a:defRPr sz="1000" b="1" i="0" u="none" strike="noStrike" kern="1200" baseline="0">
                          <a:ln>
                            <a:noFill/>
                          </a:ln>
                          <a:solidFill>
                            <a:schemeClr val="lt1"/>
                          </a:solidFill>
                          <a:latin typeface="+mn-lt"/>
                          <a:ea typeface="+mn-ea"/>
                          <a:cs typeface="+mn-cs"/>
                        </a:defRPr>
                      </a:pPr>
                      <a:t>[VALUE]</a:t>
                    </a:fld>
                    <a:endParaRPr lang="en-US" sz="800" baseline="0"/>
                  </a:p>
                </c:rich>
              </c:tx>
              <c:spPr>
                <a:noFill/>
                <a:ln>
                  <a:noFill/>
                </a:ln>
                <a:effectLst>
                  <a:outerShdw blurRad="50800" dist="38100" dir="2700000" algn="tl" rotWithShape="0">
                    <a:prstClr val="black">
                      <a:alpha val="40000"/>
                    </a:prstClr>
                  </a:outerShdw>
                </a:effectLst>
              </c:spPr>
              <c:dLblPos val="ct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8D43-47A8-9FE2-89E24E0EA745}"/>
                </c:ext>
                <c:ext xmlns:c15="http://schemas.microsoft.com/office/drawing/2012/chart" uri="{CE6537A1-D6FC-4f65-9D91-7224C49458BB}">
                  <c15:spPr xmlns:c15="http://schemas.microsoft.com/office/drawing/2012/chart">
                    <a:prstGeom prst="rect">
                      <a:avLst/>
                    </a:prstGeom>
                  </c15:spPr>
                  <c15:dlblFieldTable/>
                  <c15:showDataLabelsRange val="0"/>
                </c:ext>
              </c:extLst>
            </c:dLbl>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ln>
                      <a:noFill/>
                    </a:ln>
                    <a:solidFill>
                      <a:schemeClr val="lt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Sheet1!$BV$10:$BW$18</c:f>
              <c:multiLvlStrCache>
                <c:ptCount val="9"/>
                <c:lvl>
                  <c:pt idx="0">
                    <c:v>Pemilihan </c:v>
                  </c:pt>
                  <c:pt idx="1">
                    <c:v>Perencanaan</c:v>
                  </c:pt>
                  <c:pt idx="2">
                    <c:v>Penerimaan</c:v>
                  </c:pt>
                  <c:pt idx="3">
                    <c:v>Penyimpanan</c:v>
                  </c:pt>
                  <c:pt idx="4">
                    <c:v>Pemusnahan,Penarikan</c:v>
                  </c:pt>
                  <c:pt idx="5">
                    <c:v>Pengendalian</c:v>
                  </c:pt>
                  <c:pt idx="6">
                    <c:v>Administrasi</c:v>
                  </c:pt>
                  <c:pt idx="7">
                    <c:v>Pengadaan</c:v>
                  </c:pt>
                  <c:pt idx="8">
                    <c:v>Pendistribusian</c:v>
                  </c:pt>
                </c:lvl>
                <c:lvl>
                  <c:pt idx="0">
                    <c:v>Maksimal</c:v>
                  </c:pt>
                  <c:pt idx="7">
                    <c:v>Belum Maksimal</c:v>
                  </c:pt>
                </c:lvl>
              </c:multiLvlStrCache>
            </c:multiLvlStrRef>
          </c:cat>
          <c:val>
            <c:numRef>
              <c:f>Sheet1!$BX$10:$BX$18</c:f>
              <c:numCache>
                <c:formatCode>General</c:formatCode>
                <c:ptCount val="9"/>
                <c:pt idx="0" formatCode="0%">
                  <c:v>0.78</c:v>
                </c:pt>
                <c:pt idx="7" formatCode="0%">
                  <c:v>0.22</c:v>
                </c:pt>
              </c:numCache>
            </c:numRef>
          </c:val>
          <c:extLst xmlns:c16r2="http://schemas.microsoft.com/office/drawing/2015/06/chart">
            <c:ext xmlns:c16="http://schemas.microsoft.com/office/drawing/2014/chart" uri="{C3380CC4-5D6E-409C-BE32-E72D297353CC}">
              <c16:uniqueId val="{00000012-8D43-47A8-9FE2-89E24E0EA745}"/>
            </c:ext>
          </c:extLst>
        </c:ser>
        <c:ser>
          <c:idx val="0"/>
          <c:order val="1"/>
          <c:tx>
            <c:strRef>
              <c:f>Sheet1!$BX$9</c:f>
              <c:strCache>
                <c:ptCount val="1"/>
                <c:pt idx="0">
                  <c:v>Prosentase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8D43-47A8-9FE2-89E24E0EA74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8D43-47A8-9FE2-89E24E0EA745}"/>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8D43-47A8-9FE2-89E24E0EA745}"/>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A-8D43-47A8-9FE2-89E24E0EA745}"/>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C-8D43-47A8-9FE2-89E24E0EA745}"/>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E-8D43-47A8-9FE2-89E24E0EA745}"/>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0-8D43-47A8-9FE2-89E24E0EA745}"/>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2-8D43-47A8-9FE2-89E24E0EA745}"/>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4-8D43-47A8-9FE2-89E24E0EA74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Sheet1!$BV$10:$BW$18</c:f>
              <c:multiLvlStrCache>
                <c:ptCount val="9"/>
                <c:lvl>
                  <c:pt idx="0">
                    <c:v>Pemilihan </c:v>
                  </c:pt>
                  <c:pt idx="1">
                    <c:v>Perencanaan</c:v>
                  </c:pt>
                  <c:pt idx="2">
                    <c:v>Penerimaan</c:v>
                  </c:pt>
                  <c:pt idx="3">
                    <c:v>Penyimpanan</c:v>
                  </c:pt>
                  <c:pt idx="4">
                    <c:v>Pemusnahan,Penarikan</c:v>
                  </c:pt>
                  <c:pt idx="5">
                    <c:v>Pengendalian</c:v>
                  </c:pt>
                  <c:pt idx="6">
                    <c:v>Administrasi</c:v>
                  </c:pt>
                  <c:pt idx="7">
                    <c:v>Pengadaan</c:v>
                  </c:pt>
                  <c:pt idx="8">
                    <c:v>Pendistribusian</c:v>
                  </c:pt>
                </c:lvl>
                <c:lvl>
                  <c:pt idx="0">
                    <c:v>Maksimal</c:v>
                  </c:pt>
                  <c:pt idx="7">
                    <c:v>Belum Maksimal</c:v>
                  </c:pt>
                </c:lvl>
              </c:multiLvlStrCache>
            </c:multiLvlStrRef>
          </c:cat>
          <c:val>
            <c:numRef>
              <c:f>Sheet1!$BX$10:$BX$18</c:f>
              <c:numCache>
                <c:formatCode>General</c:formatCode>
                <c:ptCount val="9"/>
                <c:pt idx="0" formatCode="0%">
                  <c:v>0.78</c:v>
                </c:pt>
                <c:pt idx="7" formatCode="0%">
                  <c:v>0.22</c:v>
                </c:pt>
              </c:numCache>
            </c:numRef>
          </c:val>
          <c:extLst xmlns:c16r2="http://schemas.microsoft.com/office/drawing/2015/06/chart">
            <c:ext xmlns:c16="http://schemas.microsoft.com/office/drawing/2014/chart" uri="{C3380CC4-5D6E-409C-BE32-E72D297353CC}">
              <c16:uniqueId val="{00000025-8D43-47A8-9FE2-89E24E0EA745}"/>
            </c:ext>
          </c:extLst>
        </c:ser>
        <c:dLbls>
          <c:dLblPos val="ctr"/>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55009130790086225"/>
          <c:y val="7.7992935574599256E-2"/>
          <c:w val="0.42052023377182768"/>
          <c:h val="0.75735637767289754"/>
        </c:manualLayout>
      </c:layout>
      <c:overlay val="0"/>
      <c:spPr>
        <a:solidFill>
          <a:sysClr val="window" lastClr="FFFFFF"/>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chart>
  <c:spPr>
    <a:no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Sheet3!$E$8</c:f>
              <c:strCache>
                <c:ptCount val="1"/>
                <c:pt idx="0">
                  <c:v>Persentase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Sheet3!$C$9:$D$19</c:f>
              <c:multiLvlStrCache>
                <c:ptCount val="11"/>
                <c:lvl>
                  <c:pt idx="0">
                    <c:v>Pengkajian dan Pelayanan Resep</c:v>
                  </c:pt>
                  <c:pt idx="1">
                    <c:v>PIO</c:v>
                  </c:pt>
                  <c:pt idx="2">
                    <c:v>Konseling</c:v>
                  </c:pt>
                  <c:pt idx="3">
                    <c:v>Visite</c:v>
                  </c:pt>
                  <c:pt idx="4">
                    <c:v>rekonsiliasi obat</c:v>
                  </c:pt>
                  <c:pt idx="5">
                    <c:v>Pemantauan terapi obat</c:v>
                  </c:pt>
                  <c:pt idx="6">
                    <c:v>Pemantauan kadar obat dlam darah</c:v>
                  </c:pt>
                  <c:pt idx="7">
                    <c:v>Penelusuran riwyat obat</c:v>
                  </c:pt>
                  <c:pt idx="8">
                    <c:v>Dispensing sediaan steril</c:v>
                  </c:pt>
                  <c:pt idx="9">
                    <c:v>Monitoring efek samping obat</c:v>
                  </c:pt>
                  <c:pt idx="10">
                    <c:v>Evaluasi penggunaan obat</c:v>
                  </c:pt>
                </c:lvl>
                <c:lvl>
                  <c:pt idx="0">
                    <c:v>Maksimal</c:v>
                  </c:pt>
                  <c:pt idx="7">
                    <c:v>Belum Maksimal</c:v>
                  </c:pt>
                </c:lvl>
              </c:multiLvlStrCache>
            </c:multiLvlStrRef>
          </c:cat>
          <c:val>
            <c:numRef>
              <c:f>Sheet3!$E$9:$E$19</c:f>
              <c:numCache>
                <c:formatCode>General</c:formatCode>
                <c:ptCount val="11"/>
                <c:pt idx="0" formatCode="0.00%">
                  <c:v>0.63639999999999997</c:v>
                </c:pt>
                <c:pt idx="7" formatCode="0.00%">
                  <c:v>0.36359999999999998</c:v>
                </c:pt>
              </c:numCache>
            </c:numRef>
          </c:val>
          <c:extLst xmlns:c16r2="http://schemas.microsoft.com/office/drawing/2015/06/chart">
            <c:ext xmlns:c16="http://schemas.microsoft.com/office/drawing/2014/chart" uri="{C3380CC4-5D6E-409C-BE32-E72D297353CC}">
              <c16:uniqueId val="{00000000-6573-4A67-97B2-075462216141}"/>
            </c:ext>
          </c:extLst>
        </c:ser>
        <c:dLbls>
          <c:showLegendKey val="0"/>
          <c:showVal val="0"/>
          <c:showCatName val="0"/>
          <c:showSerName val="0"/>
          <c:showPercent val="0"/>
          <c:showBubbleSize val="0"/>
        </c:dLbls>
        <c:gapWidth val="182"/>
        <c:axId val="290619776"/>
        <c:axId val="290621312"/>
      </c:barChart>
      <c:catAx>
        <c:axId val="290619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0621312"/>
        <c:crosses val="autoZero"/>
        <c:auto val="1"/>
        <c:lblAlgn val="ctr"/>
        <c:lblOffset val="100"/>
        <c:noMultiLvlLbl val="0"/>
      </c:catAx>
      <c:valAx>
        <c:axId val="2906213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61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Sheet3!$E$8</c:f>
              <c:strCache>
                <c:ptCount val="1"/>
                <c:pt idx="0">
                  <c:v>Persentase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Sheet3!$C$9:$D$19</c:f>
              <c:multiLvlStrCache>
                <c:ptCount val="11"/>
                <c:lvl>
                  <c:pt idx="0">
                    <c:v>Pengkajian dan Pelayanan Resep</c:v>
                  </c:pt>
                  <c:pt idx="1">
                    <c:v>PIO</c:v>
                  </c:pt>
                  <c:pt idx="2">
                    <c:v>Konseling</c:v>
                  </c:pt>
                  <c:pt idx="3">
                    <c:v>Visite</c:v>
                  </c:pt>
                  <c:pt idx="4">
                    <c:v>rekonsiliasi obat</c:v>
                  </c:pt>
                  <c:pt idx="5">
                    <c:v>Pemantauan terapi obat</c:v>
                  </c:pt>
                  <c:pt idx="6">
                    <c:v>Pemantauan kadar obat dlam darah</c:v>
                  </c:pt>
                  <c:pt idx="7">
                    <c:v>Penelusuran riwyat obat</c:v>
                  </c:pt>
                  <c:pt idx="8">
                    <c:v>Dispensing sediaan steril</c:v>
                  </c:pt>
                  <c:pt idx="9">
                    <c:v>Monitoring efek samping obat</c:v>
                  </c:pt>
                  <c:pt idx="10">
                    <c:v>Evaluasi penggunaan obat</c:v>
                  </c:pt>
                </c:lvl>
                <c:lvl>
                  <c:pt idx="0">
                    <c:v>Maksimal</c:v>
                  </c:pt>
                  <c:pt idx="7">
                    <c:v>Belum Maksimal</c:v>
                  </c:pt>
                </c:lvl>
              </c:multiLvlStrCache>
            </c:multiLvlStrRef>
          </c:cat>
          <c:val>
            <c:numRef>
              <c:f>Sheet3!$E$9:$E$19</c:f>
              <c:numCache>
                <c:formatCode>General</c:formatCode>
                <c:ptCount val="11"/>
                <c:pt idx="0" formatCode="0.00%">
                  <c:v>0.63639999999999997</c:v>
                </c:pt>
                <c:pt idx="7" formatCode="0.00%">
                  <c:v>0.36359999999999998</c:v>
                </c:pt>
              </c:numCache>
            </c:numRef>
          </c:val>
          <c:extLst xmlns:c16r2="http://schemas.microsoft.com/office/drawing/2015/06/chart">
            <c:ext xmlns:c16="http://schemas.microsoft.com/office/drawing/2014/chart" uri="{C3380CC4-5D6E-409C-BE32-E72D297353CC}">
              <c16:uniqueId val="{00000000-6573-4A67-97B2-075462216141}"/>
            </c:ext>
          </c:extLst>
        </c:ser>
        <c:dLbls>
          <c:showLegendKey val="0"/>
          <c:showVal val="0"/>
          <c:showCatName val="0"/>
          <c:showSerName val="0"/>
          <c:showPercent val="0"/>
          <c:showBubbleSize val="0"/>
        </c:dLbls>
        <c:gapWidth val="182"/>
        <c:axId val="233723392"/>
        <c:axId val="235569920"/>
      </c:barChart>
      <c:catAx>
        <c:axId val="233723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5569920"/>
        <c:crosses val="autoZero"/>
        <c:auto val="1"/>
        <c:lblAlgn val="ctr"/>
        <c:lblOffset val="100"/>
        <c:noMultiLvlLbl val="0"/>
      </c:catAx>
      <c:valAx>
        <c:axId val="2355699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723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Sheet4!$F$9</c:f>
              <c:strCache>
                <c:ptCount val="1"/>
                <c:pt idx="0">
                  <c:v>Persentase Terlaksana</c:v>
                </c:pt>
              </c:strCache>
            </c:strRef>
          </c:tx>
          <c:spPr>
            <a:solidFill>
              <a:schemeClr val="accent2">
                <a:lumMod val="75000"/>
              </a:schemeClr>
            </a:solidFill>
            <a:ln>
              <a:noFill/>
            </a:ln>
            <a:effectLst/>
          </c:spPr>
          <c:invertIfNegative val="0"/>
          <c:dLbls>
            <c:dLbl>
              <c:idx val="0"/>
              <c:layout>
                <c:manualLayout>
                  <c:x val="4.3431053203040202E-3"/>
                  <c:y val="2.632815069895403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BD-4579-B9E2-471AEFA21C04}"/>
                </c:ext>
                <c:ext xmlns:c15="http://schemas.microsoft.com/office/drawing/2012/chart" uri="{CE6537A1-D6FC-4f65-9D91-7224C49458BB}"/>
              </c:extLst>
            </c:dLbl>
            <c:dLbl>
              <c:idx val="5"/>
              <c:layout>
                <c:manualLayout>
                  <c:x val="0"/>
                  <c:y val="2.76885634694435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BD-4579-B9E2-471AEFA21C04}"/>
                </c:ext>
                <c:ext xmlns:c15="http://schemas.microsoft.com/office/drawing/2012/chart" uri="{CE6537A1-D6FC-4f65-9D91-7224C49458BB}"/>
              </c:extLst>
            </c:dLbl>
            <c:dLbl>
              <c:idx val="8"/>
              <c:layout>
                <c:manualLayout>
                  <c:x val="5.3676678037394366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BD-4579-B9E2-471AEFA21C04}"/>
                </c:ext>
                <c:ext xmlns:c15="http://schemas.microsoft.com/office/drawing/2012/chart" uri="{CE6537A1-D6FC-4f65-9D91-7224C49458BB}"/>
              </c:extLst>
            </c:dLbl>
            <c:dLbl>
              <c:idx val="9"/>
              <c:layout>
                <c:manualLayout>
                  <c:x val="2.2950404815033298E-2"/>
                  <c:y val="-1.211754013935171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BD-4579-B9E2-471AEFA21C0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Sheet4!$D$10:$E$20</c:f>
              <c:multiLvlStrCache>
                <c:ptCount val="11"/>
                <c:lvl>
                  <c:pt idx="0">
                    <c:v>Pengkajian dan Pelayanan resep</c:v>
                  </c:pt>
                  <c:pt idx="1">
                    <c:v>Rekonsiliasi obat</c:v>
                  </c:pt>
                  <c:pt idx="2">
                    <c:v>Pengkajian dan Pelayanan resep</c:v>
                  </c:pt>
                  <c:pt idx="3">
                    <c:v>PIO</c:v>
                  </c:pt>
                  <c:pt idx="4">
                    <c:v>Konseling</c:v>
                  </c:pt>
                  <c:pt idx="5">
                    <c:v>Penelusuran Riwayat Penggunaan Obat</c:v>
                  </c:pt>
                  <c:pt idx="6">
                    <c:v>Evaluasi penggunaan obat</c:v>
                  </c:pt>
                  <c:pt idx="7">
                    <c:v>Dispensing Sediaan Steril</c:v>
                  </c:pt>
                  <c:pt idx="8">
                    <c:v>Pemantauan Terapi obat</c:v>
                  </c:pt>
                  <c:pt idx="9">
                    <c:v>Visite</c:v>
                  </c:pt>
                  <c:pt idx="10">
                    <c:v>Monitoring Efek Samping Obat</c:v>
                  </c:pt>
                </c:lvl>
                <c:lvl>
                  <c:pt idx="0">
                    <c:v>Maksimal</c:v>
                  </c:pt>
                  <c:pt idx="5">
                    <c:v>Belum Maksimal</c:v>
                  </c:pt>
                  <c:pt idx="8">
                    <c:v>Sangat Belum Maks</c:v>
                  </c:pt>
                  <c:pt idx="9">
                    <c:v>Tidak Dilaksanakan</c:v>
                  </c:pt>
                </c:lvl>
              </c:multiLvlStrCache>
            </c:multiLvlStrRef>
          </c:cat>
          <c:val>
            <c:numRef>
              <c:f>Sheet4!$F$10:$F$20</c:f>
              <c:numCache>
                <c:formatCode>General</c:formatCode>
                <c:ptCount val="11"/>
                <c:pt idx="0" formatCode="0.00%">
                  <c:v>0.45450000000000002</c:v>
                </c:pt>
                <c:pt idx="5" formatCode="0.00%">
                  <c:v>0.2727</c:v>
                </c:pt>
                <c:pt idx="8" formatCode="0.00%">
                  <c:v>9.0899999999999995E-2</c:v>
                </c:pt>
                <c:pt idx="9" formatCode="0.00%">
                  <c:v>0.18179999999999999</c:v>
                </c:pt>
              </c:numCache>
            </c:numRef>
          </c:val>
          <c:extLst xmlns:c16r2="http://schemas.microsoft.com/office/drawing/2015/06/chart">
            <c:ext xmlns:c16="http://schemas.microsoft.com/office/drawing/2014/chart" uri="{C3380CC4-5D6E-409C-BE32-E72D297353CC}">
              <c16:uniqueId val="{00000004-A4BD-4579-B9E2-471AEFA21C04}"/>
            </c:ext>
          </c:extLst>
        </c:ser>
        <c:dLbls>
          <c:showLegendKey val="0"/>
          <c:showVal val="0"/>
          <c:showCatName val="0"/>
          <c:showSerName val="0"/>
          <c:showPercent val="0"/>
          <c:showBubbleSize val="0"/>
        </c:dLbls>
        <c:gapWidth val="182"/>
        <c:axId val="156368896"/>
        <c:axId val="156370432"/>
      </c:barChart>
      <c:catAx>
        <c:axId val="15636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370432"/>
        <c:crosses val="autoZero"/>
        <c:auto val="1"/>
        <c:lblAlgn val="ctr"/>
        <c:lblOffset val="100"/>
        <c:noMultiLvlLbl val="0"/>
      </c:catAx>
      <c:valAx>
        <c:axId val="15637043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6368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Sheet4!$F$9</c:f>
              <c:strCache>
                <c:ptCount val="1"/>
                <c:pt idx="0">
                  <c:v>Persentase Terlaksana</c:v>
                </c:pt>
              </c:strCache>
            </c:strRef>
          </c:tx>
          <c:spPr>
            <a:solidFill>
              <a:schemeClr val="accent2">
                <a:lumMod val="75000"/>
              </a:schemeClr>
            </a:solidFill>
            <a:ln>
              <a:noFill/>
            </a:ln>
            <a:effectLst/>
          </c:spPr>
          <c:invertIfNegative val="0"/>
          <c:dLbls>
            <c:dLbl>
              <c:idx val="0"/>
              <c:layout>
                <c:manualLayout>
                  <c:x val="4.3431053203040202E-3"/>
                  <c:y val="2.632815069895403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BD-4579-B9E2-471AEFA21C04}"/>
                </c:ext>
                <c:ext xmlns:c15="http://schemas.microsoft.com/office/drawing/2012/chart" uri="{CE6537A1-D6FC-4f65-9D91-7224C49458BB}"/>
              </c:extLst>
            </c:dLbl>
            <c:dLbl>
              <c:idx val="5"/>
              <c:layout>
                <c:manualLayout>
                  <c:x val="0"/>
                  <c:y val="2.76885634694435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BD-4579-B9E2-471AEFA21C04}"/>
                </c:ext>
                <c:ext xmlns:c15="http://schemas.microsoft.com/office/drawing/2012/chart" uri="{CE6537A1-D6FC-4f65-9D91-7224C49458BB}"/>
              </c:extLst>
            </c:dLbl>
            <c:dLbl>
              <c:idx val="8"/>
              <c:layout>
                <c:manualLayout>
                  <c:x val="5.3676678037394366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BD-4579-B9E2-471AEFA21C04}"/>
                </c:ext>
                <c:ext xmlns:c15="http://schemas.microsoft.com/office/drawing/2012/chart" uri="{CE6537A1-D6FC-4f65-9D91-7224C49458BB}"/>
              </c:extLst>
            </c:dLbl>
            <c:dLbl>
              <c:idx val="9"/>
              <c:layout>
                <c:manualLayout>
                  <c:x val="2.2950404815033298E-2"/>
                  <c:y val="-1.211754013935171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BD-4579-B9E2-471AEFA21C0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Sheet4!$D$10:$E$20</c:f>
              <c:multiLvlStrCache>
                <c:ptCount val="11"/>
                <c:lvl>
                  <c:pt idx="0">
                    <c:v>Pengkajian dan Pelayanan resep</c:v>
                  </c:pt>
                  <c:pt idx="1">
                    <c:v>Rekonsiliasi obat</c:v>
                  </c:pt>
                  <c:pt idx="2">
                    <c:v>Pengkajian dan Pelayanan resep</c:v>
                  </c:pt>
                  <c:pt idx="3">
                    <c:v>PIO</c:v>
                  </c:pt>
                  <c:pt idx="4">
                    <c:v>Konseling</c:v>
                  </c:pt>
                  <c:pt idx="5">
                    <c:v>Penelusuran Riwayat Penggunaan Obat</c:v>
                  </c:pt>
                  <c:pt idx="6">
                    <c:v>Evaluasi penggunaan obat</c:v>
                  </c:pt>
                  <c:pt idx="7">
                    <c:v>Dispensing Sediaan Steril</c:v>
                  </c:pt>
                  <c:pt idx="8">
                    <c:v>Pemantauan Terapi obat</c:v>
                  </c:pt>
                  <c:pt idx="9">
                    <c:v>Visite</c:v>
                  </c:pt>
                  <c:pt idx="10">
                    <c:v>Monitoring Efek Samping Obat</c:v>
                  </c:pt>
                </c:lvl>
                <c:lvl>
                  <c:pt idx="0">
                    <c:v>Maksimal</c:v>
                  </c:pt>
                  <c:pt idx="5">
                    <c:v>Belum Maksimal</c:v>
                  </c:pt>
                  <c:pt idx="8">
                    <c:v>Sangat Belum Maks</c:v>
                  </c:pt>
                  <c:pt idx="9">
                    <c:v>Tidak Dilaksanakan</c:v>
                  </c:pt>
                </c:lvl>
              </c:multiLvlStrCache>
            </c:multiLvlStrRef>
          </c:cat>
          <c:val>
            <c:numRef>
              <c:f>Sheet4!$F$10:$F$20</c:f>
              <c:numCache>
                <c:formatCode>General</c:formatCode>
                <c:ptCount val="11"/>
                <c:pt idx="0" formatCode="0.00%">
                  <c:v>0.45450000000000002</c:v>
                </c:pt>
                <c:pt idx="5" formatCode="0.00%">
                  <c:v>0.2727</c:v>
                </c:pt>
                <c:pt idx="8" formatCode="0.00%">
                  <c:v>9.0899999999999995E-2</c:v>
                </c:pt>
                <c:pt idx="9" formatCode="0.00%">
                  <c:v>0.18179999999999999</c:v>
                </c:pt>
              </c:numCache>
            </c:numRef>
          </c:val>
          <c:extLst xmlns:c16r2="http://schemas.microsoft.com/office/drawing/2015/06/chart">
            <c:ext xmlns:c16="http://schemas.microsoft.com/office/drawing/2014/chart" uri="{C3380CC4-5D6E-409C-BE32-E72D297353CC}">
              <c16:uniqueId val="{00000004-A4BD-4579-B9E2-471AEFA21C04}"/>
            </c:ext>
          </c:extLst>
        </c:ser>
        <c:dLbls>
          <c:showLegendKey val="0"/>
          <c:showVal val="0"/>
          <c:showCatName val="0"/>
          <c:showSerName val="0"/>
          <c:showPercent val="0"/>
          <c:showBubbleSize val="0"/>
        </c:dLbls>
        <c:gapWidth val="182"/>
        <c:axId val="262122112"/>
        <c:axId val="286044544"/>
      </c:barChart>
      <c:catAx>
        <c:axId val="26212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6044544"/>
        <c:crosses val="autoZero"/>
        <c:auto val="1"/>
        <c:lblAlgn val="ctr"/>
        <c:lblOffset val="100"/>
        <c:noMultiLvlLbl val="0"/>
      </c:catAx>
      <c:valAx>
        <c:axId val="28604454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62122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0.03308</cdr:x>
      <cdr:y>0.84151</cdr:y>
    </cdr:from>
    <cdr:to>
      <cdr:x>0.92636</cdr:x>
      <cdr:y>1</cdr:y>
    </cdr:to>
    <cdr:sp macro="" textlink="">
      <cdr:nvSpPr>
        <cdr:cNvPr id="2" name="Rectangle 1"/>
        <cdr:cNvSpPr/>
      </cdr:nvSpPr>
      <cdr:spPr>
        <a:xfrm xmlns:a="http://schemas.openxmlformats.org/drawingml/2006/main">
          <a:off x="112142" y="2104846"/>
          <a:ext cx="3027872" cy="39641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800" b="1">
              <a:solidFill>
                <a:sysClr val="windowText" lastClr="000000"/>
              </a:solidFill>
              <a:latin typeface="Times New Roman" panose="02020603050405020304" pitchFamily="18" charset="0"/>
              <a:cs typeface="Times New Roman" panose="02020603050405020304" pitchFamily="18" charset="0"/>
            </a:rPr>
            <a:t>Gambar</a:t>
          </a:r>
          <a:r>
            <a:rPr lang="en-US" sz="800" b="1" baseline="0">
              <a:solidFill>
                <a:sysClr val="windowText" lastClr="000000"/>
              </a:solidFill>
              <a:latin typeface="Times New Roman" panose="02020603050405020304" pitchFamily="18" charset="0"/>
              <a:cs typeface="Times New Roman" panose="02020603050405020304" pitchFamily="18" charset="0"/>
            </a:rPr>
            <a:t> 1. Prosentase Penerapan Standar Pengelolaan Sediaan Farmasi, Alkes BMHP </a:t>
          </a:r>
          <a:endParaRPr lang="en-US" sz="800" b="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Vp0X4/iLdOgtVQdn2fBjKObxqQ==">CgMxLjAyCGguZ2pkZ3hzOAByITE4UHJoajNtSllTd3VxYV9nMi00MDN0VEsxUm9wbW5lSQ==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14145</Words>
  <Characters>80628</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15</cp:revision>
  <dcterms:created xsi:type="dcterms:W3CDTF">2025-12-11T08:02:00Z</dcterms:created>
  <dcterms:modified xsi:type="dcterms:W3CDTF">2026-01-02T02:03:00Z</dcterms:modified>
</cp:coreProperties>
</file>